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3A1ACA1A" w14:textId="77777777" w:rsidTr="00876A8A">
        <w:trPr>
          <w:cantSplit/>
        </w:trPr>
        <w:tc>
          <w:tcPr>
            <w:tcW w:w="6487" w:type="dxa"/>
            <w:vAlign w:val="center"/>
          </w:tcPr>
          <w:p w14:paraId="679689BB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52EA91F" w14:textId="77777777" w:rsidR="009F6520" w:rsidRDefault="001C5D10" w:rsidP="001C5D10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DF58757" wp14:editId="3F55DF4F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3BE549C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0C817FF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74D4F3B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629F931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64B10E2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8D3888A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B05E25F" w14:textId="77777777" w:rsidTr="00876A8A">
        <w:trPr>
          <w:cantSplit/>
        </w:trPr>
        <w:tc>
          <w:tcPr>
            <w:tcW w:w="6487" w:type="dxa"/>
            <w:vMerge w:val="restart"/>
          </w:tcPr>
          <w:p w14:paraId="63498538" w14:textId="77777777" w:rsidR="000069D4" w:rsidRDefault="001C5D10" w:rsidP="001C5D1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22 February 2021</w:t>
            </w:r>
          </w:p>
          <w:p w14:paraId="1688ACEF" w14:textId="70B409EB" w:rsidR="001C5D10" w:rsidRPr="00982084" w:rsidRDefault="001C5D10" w:rsidP="001C5D1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6E5D96" w:rsidRPr="006E5D96">
              <w:rPr>
                <w:rFonts w:ascii="Verdana" w:hAnsi="Verdana"/>
                <w:sz w:val="20"/>
              </w:rPr>
              <w:t>WRC-23 AI 1.5</w:t>
            </w:r>
          </w:p>
        </w:tc>
        <w:tc>
          <w:tcPr>
            <w:tcW w:w="3402" w:type="dxa"/>
          </w:tcPr>
          <w:p w14:paraId="145EFC68" w14:textId="77777777" w:rsidR="000069D4" w:rsidRPr="001C5D10" w:rsidRDefault="001C5D1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/478-E</w:t>
            </w:r>
          </w:p>
        </w:tc>
      </w:tr>
      <w:tr w:rsidR="000069D4" w14:paraId="0A76C960" w14:textId="77777777" w:rsidTr="00876A8A">
        <w:trPr>
          <w:cantSplit/>
        </w:trPr>
        <w:tc>
          <w:tcPr>
            <w:tcW w:w="6487" w:type="dxa"/>
            <w:vMerge/>
          </w:tcPr>
          <w:p w14:paraId="4BCA2004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43B1A90" w14:textId="77777777" w:rsidR="000069D4" w:rsidRPr="001C5D10" w:rsidRDefault="001C5D1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22 February 2021</w:t>
            </w:r>
          </w:p>
        </w:tc>
      </w:tr>
      <w:tr w:rsidR="000069D4" w14:paraId="1323D6B9" w14:textId="77777777" w:rsidTr="00876A8A">
        <w:trPr>
          <w:cantSplit/>
        </w:trPr>
        <w:tc>
          <w:tcPr>
            <w:tcW w:w="6487" w:type="dxa"/>
            <w:vMerge/>
          </w:tcPr>
          <w:p w14:paraId="0A183129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D2297BB" w14:textId="273E04A9" w:rsidR="000069D4" w:rsidRPr="001C5D10" w:rsidRDefault="001C5D1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6E5D96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6E5D96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bookmarkStart w:id="5" w:name="_GoBack"/>
            <w:bookmarkEnd w:id="5"/>
            <w:r w:rsidR="006E5D96" w:rsidRPr="006609A5">
              <w:rPr>
                <w:rFonts w:ascii="Verdana" w:eastAsia="SimSun" w:hAnsi="Verdana"/>
                <w:b/>
                <w:sz w:val="20"/>
                <w:lang w:eastAsia="zh-CN"/>
              </w:rPr>
              <w:t xml:space="preserve">SPECTRUM </w:t>
            </w:r>
            <w:r w:rsidR="006E5D96">
              <w:rPr>
                <w:rFonts w:ascii="Verdana" w:eastAsia="SimSun" w:hAnsi="Verdana"/>
                <w:b/>
                <w:sz w:val="20"/>
                <w:lang w:eastAsia="zh-CN"/>
              </w:rPr>
              <w:t>ASPECTS &amp; WRC-23 PREPARATIONS</w:t>
            </w:r>
          </w:p>
        </w:tc>
      </w:tr>
      <w:tr w:rsidR="006E5D96" w14:paraId="2218A98E" w14:textId="77777777" w:rsidTr="00D046A7">
        <w:trPr>
          <w:cantSplit/>
        </w:trPr>
        <w:tc>
          <w:tcPr>
            <w:tcW w:w="9889" w:type="dxa"/>
            <w:gridSpan w:val="2"/>
          </w:tcPr>
          <w:p w14:paraId="60F13F5C" w14:textId="720B5C36" w:rsidR="006E5D96" w:rsidRDefault="006E5D96" w:rsidP="006E5D96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4"/>
            <w:r w:rsidRPr="005068C0">
              <w:rPr>
                <w:rFonts w:asciiTheme="majorBidi" w:hAnsiTheme="majorBidi" w:cstheme="majorBidi"/>
                <w:lang w:eastAsia="zh-CN"/>
              </w:rPr>
              <w:t xml:space="preserve">Saudi Arabia </w:t>
            </w:r>
            <w:r>
              <w:rPr>
                <w:rFonts w:asciiTheme="majorBidi" w:hAnsiTheme="majorBidi" w:cstheme="majorBidi"/>
                <w:lang w:eastAsia="zh-CN"/>
              </w:rPr>
              <w:t>(Kingdom of)</w:t>
            </w:r>
          </w:p>
        </w:tc>
      </w:tr>
      <w:tr w:rsidR="006E5D96" w14:paraId="14BF40FC" w14:textId="77777777" w:rsidTr="00D046A7">
        <w:trPr>
          <w:cantSplit/>
        </w:trPr>
        <w:tc>
          <w:tcPr>
            <w:tcW w:w="9889" w:type="dxa"/>
            <w:gridSpan w:val="2"/>
          </w:tcPr>
          <w:p w14:paraId="272D6D1A" w14:textId="38DD816C" w:rsidR="006E5D96" w:rsidRDefault="006E5D96" w:rsidP="006E5D96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5068C0">
              <w:rPr>
                <w:rFonts w:asciiTheme="majorBidi" w:hAnsiTheme="majorBidi" w:cstheme="majorBidi"/>
              </w:rPr>
              <w:t>SPECTRUM NEEDS AND USAGE FOR WRC-23 agenda item 1.5</w:t>
            </w:r>
          </w:p>
        </w:tc>
      </w:tr>
      <w:tr w:rsidR="000069D4" w14:paraId="382B1F32" w14:textId="77777777" w:rsidTr="00D046A7">
        <w:trPr>
          <w:cantSplit/>
        </w:trPr>
        <w:tc>
          <w:tcPr>
            <w:tcW w:w="9889" w:type="dxa"/>
            <w:gridSpan w:val="2"/>
          </w:tcPr>
          <w:p w14:paraId="082CC26A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56044746" w14:textId="77777777" w:rsidR="006E5D96" w:rsidRDefault="006E5D96" w:rsidP="006E5D96">
      <w:pPr>
        <w:jc w:val="both"/>
        <w:rPr>
          <w:szCs w:val="24"/>
        </w:rPr>
      </w:pPr>
      <w:bookmarkStart w:id="9" w:name="dbreak"/>
      <w:bookmarkEnd w:id="8"/>
      <w:bookmarkEnd w:id="9"/>
      <w:r>
        <w:rPr>
          <w:iCs/>
          <w:szCs w:val="24"/>
        </w:rPr>
        <w:t>In accordance to</w:t>
      </w:r>
      <w:r w:rsidRPr="00B22A21">
        <w:rPr>
          <w:iCs/>
          <w:szCs w:val="24"/>
        </w:rPr>
        <w:t xml:space="preserve"> the Administrative Circular </w:t>
      </w:r>
      <w:hyperlink r:id="rId8" w:history="1">
        <w:proofErr w:type="spellStart"/>
        <w:r w:rsidRPr="00391E1E">
          <w:rPr>
            <w:rStyle w:val="Hyperlink"/>
            <w:iCs/>
            <w:szCs w:val="24"/>
          </w:rPr>
          <w:t>CACE</w:t>
        </w:r>
        <w:proofErr w:type="spellEnd"/>
        <w:r w:rsidRPr="00391E1E">
          <w:rPr>
            <w:rStyle w:val="Hyperlink"/>
            <w:iCs/>
            <w:szCs w:val="24"/>
          </w:rPr>
          <w:t>/963</w:t>
        </w:r>
      </w:hyperlink>
      <w:r w:rsidRPr="00B22A21">
        <w:rPr>
          <w:iCs/>
          <w:szCs w:val="24"/>
        </w:rPr>
        <w:t xml:space="preserve"> dated 2 November 2020, </w:t>
      </w:r>
      <w:r>
        <w:rPr>
          <w:iCs/>
          <w:szCs w:val="24"/>
        </w:rPr>
        <w:t>the ITU-R</w:t>
      </w:r>
      <w:r w:rsidRPr="00B22A21">
        <w:rPr>
          <w:iCs/>
          <w:szCs w:val="24"/>
        </w:rPr>
        <w:t xml:space="preserve"> </w:t>
      </w:r>
      <w:r w:rsidRPr="00B22A21">
        <w:rPr>
          <w:szCs w:val="24"/>
        </w:rPr>
        <w:t xml:space="preserve">invited </w:t>
      </w:r>
      <w:r>
        <w:rPr>
          <w:szCs w:val="24"/>
        </w:rPr>
        <w:t>A</w:t>
      </w:r>
      <w:r w:rsidRPr="00B22A21">
        <w:rPr>
          <w:szCs w:val="24"/>
        </w:rPr>
        <w:t xml:space="preserve">dministrations </w:t>
      </w:r>
      <w:r>
        <w:rPr>
          <w:szCs w:val="24"/>
        </w:rPr>
        <w:t>from</w:t>
      </w:r>
      <w:r w:rsidRPr="00B22A21">
        <w:rPr>
          <w:szCs w:val="24"/>
        </w:rPr>
        <w:t xml:space="preserve"> Region 1 to submit</w:t>
      </w:r>
      <w:r>
        <w:rPr>
          <w:szCs w:val="24"/>
        </w:rPr>
        <w:t xml:space="preserve"> their </w:t>
      </w:r>
      <w:r w:rsidRPr="00B22A21">
        <w:rPr>
          <w:szCs w:val="24"/>
        </w:rPr>
        <w:t>input contributions</w:t>
      </w:r>
      <w:r>
        <w:rPr>
          <w:szCs w:val="24"/>
        </w:rPr>
        <w:t xml:space="preserve"> based</w:t>
      </w:r>
      <w:r w:rsidRPr="00B22A21">
        <w:rPr>
          <w:szCs w:val="24"/>
        </w:rPr>
        <w:t xml:space="preserve"> </w:t>
      </w:r>
      <w:r>
        <w:rPr>
          <w:szCs w:val="24"/>
        </w:rPr>
        <w:t xml:space="preserve">on the spectrum usage within their territories for </w:t>
      </w:r>
      <w:proofErr w:type="spellStart"/>
      <w:r>
        <w:rPr>
          <w:szCs w:val="24"/>
        </w:rPr>
        <w:t>IMT</w:t>
      </w:r>
      <w:proofErr w:type="spellEnd"/>
      <w:r>
        <w:rPr>
          <w:szCs w:val="24"/>
        </w:rPr>
        <w:t xml:space="preserve"> or other technologies and the future spectrum needs for the </w:t>
      </w:r>
      <w:r w:rsidRPr="00B22A21">
        <w:rPr>
          <w:szCs w:val="24"/>
        </w:rPr>
        <w:t xml:space="preserve">mobile (except aeronautical mobile) service </w:t>
      </w:r>
      <w:r>
        <w:rPr>
          <w:szCs w:val="24"/>
        </w:rPr>
        <w:t xml:space="preserve">within the frequency band (470-960) </w:t>
      </w:r>
      <w:proofErr w:type="spellStart"/>
      <w:r>
        <w:rPr>
          <w:szCs w:val="24"/>
        </w:rPr>
        <w:t>MHz.</w:t>
      </w:r>
      <w:proofErr w:type="spellEnd"/>
    </w:p>
    <w:p w14:paraId="17D4999E" w14:textId="77777777" w:rsidR="006E5D96" w:rsidRDefault="006E5D96" w:rsidP="006E5D96">
      <w:pPr>
        <w:jc w:val="both"/>
        <w:rPr>
          <w:szCs w:val="24"/>
        </w:rPr>
      </w:pPr>
      <w:r>
        <w:rPr>
          <w:szCs w:val="24"/>
          <w:lang w:val="en-IE"/>
        </w:rPr>
        <w:t xml:space="preserve">Therefore, </w:t>
      </w:r>
      <w:r>
        <w:rPr>
          <w:szCs w:val="24"/>
          <w:lang w:val="en-US"/>
        </w:rPr>
        <w:t xml:space="preserve">the Administration of </w:t>
      </w:r>
      <w:r w:rsidRPr="00B22A21">
        <w:rPr>
          <w:szCs w:val="24"/>
        </w:rPr>
        <w:t>Saudi Arabia would like</w:t>
      </w:r>
      <w:r>
        <w:rPr>
          <w:szCs w:val="24"/>
        </w:rPr>
        <w:t xml:space="preserve"> to provide the attached contribution regarding</w:t>
      </w:r>
      <w:r w:rsidRPr="00B22A21">
        <w:rPr>
          <w:szCs w:val="24"/>
        </w:rPr>
        <w:t xml:space="preserve"> </w:t>
      </w:r>
      <w:r>
        <w:rPr>
          <w:szCs w:val="24"/>
        </w:rPr>
        <w:t>the questionnaire</w:t>
      </w:r>
      <w:r w:rsidRPr="00B22A21">
        <w:rPr>
          <w:szCs w:val="24"/>
        </w:rPr>
        <w:t xml:space="preserve"> on spectrum </w:t>
      </w:r>
      <w:r>
        <w:rPr>
          <w:szCs w:val="24"/>
        </w:rPr>
        <w:t>needs and usage</w:t>
      </w:r>
      <w:r w:rsidRPr="00B22A21">
        <w:rPr>
          <w:szCs w:val="24"/>
        </w:rPr>
        <w:t xml:space="preserve"> for the mobile (except aeronautical mobile) service within the frequency band 470-960 MHz</w:t>
      </w:r>
      <w:r>
        <w:rPr>
          <w:szCs w:val="24"/>
        </w:rPr>
        <w:t xml:space="preserve"> in the kingdom of Saudi Arabia.</w:t>
      </w:r>
    </w:p>
    <w:p w14:paraId="5215EF48" w14:textId="77777777" w:rsidR="006E5D96" w:rsidRPr="00391E1E" w:rsidRDefault="006E5D96" w:rsidP="006E5D96"/>
    <w:p w14:paraId="2E896F6E" w14:textId="77777777" w:rsidR="006E5D96" w:rsidRPr="00B22A21" w:rsidRDefault="006E5D96" w:rsidP="006E5D96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p w14:paraId="6984935E" w14:textId="77777777" w:rsidR="006E5D96" w:rsidRDefault="006E5D96" w:rsidP="006E5D96">
      <w:pPr>
        <w:rPr>
          <w:lang w:eastAsia="zh-CN"/>
        </w:rPr>
      </w:pPr>
    </w:p>
    <w:p w14:paraId="1E167722" w14:textId="77777777" w:rsidR="006E5D96" w:rsidRDefault="006E5D96" w:rsidP="006E5D96">
      <w:pPr>
        <w:rPr>
          <w:lang w:eastAsia="zh-CN"/>
        </w:rPr>
      </w:pPr>
    </w:p>
    <w:p w14:paraId="5EE5221A" w14:textId="77777777" w:rsidR="006E5D96" w:rsidRDefault="006E5D96" w:rsidP="006E5D96">
      <w:pPr>
        <w:rPr>
          <w:lang w:eastAsia="zh-CN"/>
        </w:rPr>
      </w:pPr>
    </w:p>
    <w:p w14:paraId="175A159E" w14:textId="77777777" w:rsidR="006E5D96" w:rsidRPr="00B22A21" w:rsidRDefault="006E5D96" w:rsidP="006E5D96">
      <w:pPr>
        <w:rPr>
          <w:lang w:eastAsia="zh-CN"/>
        </w:rPr>
      </w:pPr>
    </w:p>
    <w:p w14:paraId="75FBFD86" w14:textId="77777777" w:rsidR="006E5D96" w:rsidRDefault="006E5D96" w:rsidP="006E5D96">
      <w:pPr>
        <w:pStyle w:val="enumlev1"/>
        <w:ind w:left="0" w:firstLine="0"/>
        <w:rPr>
          <w:rtl/>
        </w:rPr>
      </w:pPr>
    </w:p>
    <w:p w14:paraId="5F3A078C" w14:textId="77777777" w:rsidR="006E5D96" w:rsidRDefault="006E5D96" w:rsidP="006E5D96">
      <w:pPr>
        <w:pStyle w:val="enumlev1"/>
        <w:ind w:left="0" w:firstLine="0"/>
        <w:rPr>
          <w:rtl/>
        </w:rPr>
      </w:pPr>
    </w:p>
    <w:p w14:paraId="50406817" w14:textId="77777777" w:rsidR="006E5D96" w:rsidRDefault="006E5D96" w:rsidP="006E5D96">
      <w:pPr>
        <w:pStyle w:val="enumlev1"/>
        <w:ind w:left="0" w:firstLine="0"/>
        <w:rPr>
          <w:rtl/>
        </w:rPr>
      </w:pPr>
    </w:p>
    <w:p w14:paraId="51E61937" w14:textId="77777777" w:rsidR="006E5D96" w:rsidRPr="009A7F31" w:rsidRDefault="006E5D96" w:rsidP="006E5D96">
      <w:pPr>
        <w:pStyle w:val="enumlev1"/>
        <w:ind w:left="0" w:firstLine="0"/>
        <w:rPr>
          <w:lang w:eastAsia="zh-CN"/>
        </w:rPr>
      </w:pPr>
      <w:r w:rsidRPr="006E5D96">
        <w:rPr>
          <w:b/>
          <w:bCs/>
        </w:rPr>
        <w:t>Attachment</w:t>
      </w:r>
      <w:r w:rsidRPr="009A7F31">
        <w:t xml:space="preserve">: </w:t>
      </w:r>
      <w:r>
        <w:tab/>
        <w:t>1</w:t>
      </w:r>
    </w:p>
    <w:p w14:paraId="03622B2D" w14:textId="77777777" w:rsidR="006E5D96" w:rsidRDefault="006E5D96" w:rsidP="006E5D96">
      <w:pPr>
        <w:pStyle w:val="AnnexNo"/>
        <w:rPr>
          <w:lang w:eastAsia="zh-CN"/>
        </w:rPr>
      </w:pPr>
      <w:r w:rsidRPr="009A7F31">
        <w:rPr>
          <w:lang w:eastAsia="zh-CN"/>
        </w:rPr>
        <w:br w:type="page"/>
      </w:r>
      <w:r w:rsidRPr="006E5D96">
        <w:lastRenderedPageBreak/>
        <w:t>ATTACHMENT</w:t>
      </w:r>
    </w:p>
    <w:p w14:paraId="681F08CE" w14:textId="77777777" w:rsidR="006E5D96" w:rsidRPr="001769C5" w:rsidRDefault="006E5D96" w:rsidP="006E5D96">
      <w:pPr>
        <w:pStyle w:val="Title1"/>
        <w:rPr>
          <w:lang w:eastAsia="zh-CN"/>
        </w:rPr>
      </w:pPr>
      <w:r>
        <w:rPr>
          <w:lang w:val="en-US"/>
        </w:rPr>
        <w:t>saudi arabia</w:t>
      </w:r>
      <w:r w:rsidRPr="001769C5">
        <w:t xml:space="preserve"> answer</w:t>
      </w:r>
      <w:r>
        <w:t>s</w:t>
      </w:r>
      <w:r w:rsidRPr="001769C5">
        <w:t xml:space="preserve"> to WP</w:t>
      </w:r>
      <w:r>
        <w:t xml:space="preserve"> </w:t>
      </w:r>
      <w:proofErr w:type="spellStart"/>
      <w:r w:rsidRPr="001769C5">
        <w:t>5D</w:t>
      </w:r>
      <w:proofErr w:type="spellEnd"/>
      <w:r w:rsidRPr="001769C5">
        <w:t xml:space="preserve"> Questionnaire on</w:t>
      </w:r>
      <w:r>
        <w:br/>
      </w:r>
      <w:r w:rsidRPr="001769C5">
        <w:t>A</w:t>
      </w:r>
      <w:r>
        <w:t>genda item</w:t>
      </w:r>
      <w:r w:rsidRPr="001769C5">
        <w:t xml:space="preserve"> 1.5 regarding </w:t>
      </w:r>
      <w:proofErr w:type="spellStart"/>
      <w:r w:rsidRPr="001769C5">
        <w:t>IMT</w:t>
      </w:r>
      <w:proofErr w:type="spellEnd"/>
    </w:p>
    <w:p w14:paraId="09A1AE2A" w14:textId="77777777" w:rsidR="006E5D96" w:rsidRPr="00314D5A" w:rsidRDefault="006E5D96" w:rsidP="006E5D96">
      <w:pPr>
        <w:pStyle w:val="Annextitle"/>
      </w:pPr>
      <w:r>
        <w:t>Questionnaire on</w:t>
      </w:r>
      <w:r w:rsidRPr="00314D5A">
        <w:t xml:space="preserve"> the spectrum use and the spectrum needs of the </w:t>
      </w:r>
      <w:proofErr w:type="spellStart"/>
      <w:r w:rsidRPr="00314D5A">
        <w:t>IMT</w:t>
      </w:r>
      <w:proofErr w:type="spellEnd"/>
      <w:r w:rsidRPr="00314D5A">
        <w:t xml:space="preserve"> applications/systems in mobile (except aeronautical mobile) within the frequen</w:t>
      </w:r>
      <w:r>
        <w:t xml:space="preserve">cy band 470-960 MHz in Region </w:t>
      </w:r>
      <w:r w:rsidRPr="00072983">
        <w:t xml:space="preserve">1 in response to </w:t>
      </w:r>
      <w:r>
        <w:br/>
      </w:r>
      <w:r w:rsidRPr="00072983">
        <w:t>Resolution 235</w:t>
      </w:r>
      <w:r>
        <w:t xml:space="preserve"> (WRC-15)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098"/>
        <w:gridCol w:w="4508"/>
      </w:tblGrid>
      <w:tr w:rsidR="006E5D96" w:rsidRPr="00036DCD" w14:paraId="281BEB7B" w14:textId="77777777" w:rsidTr="006F7204">
        <w:trPr>
          <w:trHeight w:val="696"/>
          <w:tblHeader/>
        </w:trPr>
        <w:tc>
          <w:tcPr>
            <w:tcW w:w="5098" w:type="dxa"/>
            <w:vAlign w:val="center"/>
          </w:tcPr>
          <w:p w14:paraId="1AA3473E" w14:textId="77777777" w:rsidR="006E5D96" w:rsidRPr="00036DCD" w:rsidRDefault="006E5D96" w:rsidP="006F7204">
            <w:pPr>
              <w:pStyle w:val="Tablehead"/>
            </w:pPr>
            <w:r w:rsidRPr="00036DCD">
              <w:t>Questions</w:t>
            </w:r>
          </w:p>
        </w:tc>
        <w:tc>
          <w:tcPr>
            <w:tcW w:w="4508" w:type="dxa"/>
            <w:vAlign w:val="center"/>
          </w:tcPr>
          <w:p w14:paraId="04F0E207" w14:textId="77777777" w:rsidR="006E5D96" w:rsidRPr="00036DCD" w:rsidRDefault="006E5D96" w:rsidP="006F7204">
            <w:pPr>
              <w:pStyle w:val="Tablehead"/>
            </w:pPr>
            <w:r w:rsidRPr="00036DCD">
              <w:t>Answers</w:t>
            </w:r>
          </w:p>
        </w:tc>
      </w:tr>
      <w:tr w:rsidR="006E5D96" w:rsidRPr="00036DCD" w14:paraId="4FA064F1" w14:textId="77777777" w:rsidTr="006F7204">
        <w:trPr>
          <w:trHeight w:val="990"/>
        </w:trPr>
        <w:tc>
          <w:tcPr>
            <w:tcW w:w="5098" w:type="dxa"/>
          </w:tcPr>
          <w:p w14:paraId="5225855B" w14:textId="77777777" w:rsidR="006E5D96" w:rsidRPr="00036DCD" w:rsidRDefault="006E5D96" w:rsidP="006F7204">
            <w:pPr>
              <w:pStyle w:val="Tabletext"/>
              <w:spacing w:before="80" w:after="80"/>
              <w:ind w:left="284" w:hanging="284"/>
            </w:pPr>
            <w:r w:rsidRPr="00EA7B77">
              <w:rPr>
                <w:b/>
                <w:bCs/>
              </w:rPr>
              <w:t>1.</w:t>
            </w:r>
            <w:r>
              <w:tab/>
            </w:r>
            <w:r w:rsidRPr="00036DCD">
              <w:t xml:space="preserve">How has your administration implemented </w:t>
            </w:r>
            <w:proofErr w:type="spellStart"/>
            <w:r w:rsidRPr="00036DCD">
              <w:t>IMT</w:t>
            </w:r>
            <w:proofErr w:type="spellEnd"/>
            <w:r w:rsidRPr="00036DCD">
              <w:t xml:space="preserve"> applications/systems in the frequency band 694</w:t>
            </w:r>
            <w:r>
              <w:noBreakHyphen/>
            </w:r>
            <w:r w:rsidRPr="00036DCD">
              <w:t>960</w:t>
            </w:r>
            <w:r>
              <w:t> </w:t>
            </w:r>
            <w:r w:rsidRPr="00036DCD">
              <w:t>MHz?</w:t>
            </w:r>
          </w:p>
        </w:tc>
        <w:tc>
          <w:tcPr>
            <w:tcW w:w="4508" w:type="dxa"/>
          </w:tcPr>
          <w:p w14:paraId="0479CC54" w14:textId="77777777" w:rsidR="006E5D96" w:rsidRPr="00036DCD" w:rsidRDefault="006E5D96" w:rsidP="006F7204">
            <w:pPr>
              <w:pStyle w:val="Tabletext"/>
            </w:pPr>
          </w:p>
        </w:tc>
      </w:tr>
      <w:tr w:rsidR="006E5D96" w:rsidRPr="00155DC5" w14:paraId="3ACD408A" w14:textId="77777777" w:rsidTr="006F7204">
        <w:trPr>
          <w:trHeight w:val="1341"/>
        </w:trPr>
        <w:tc>
          <w:tcPr>
            <w:tcW w:w="5098" w:type="dxa"/>
          </w:tcPr>
          <w:p w14:paraId="574D54C1" w14:textId="77777777" w:rsidR="006E5D96" w:rsidRPr="00036DCD" w:rsidRDefault="006E5D96" w:rsidP="006F7204">
            <w:pPr>
              <w:pStyle w:val="Tabletext"/>
              <w:spacing w:before="80" w:after="80"/>
              <w:ind w:left="567" w:hanging="567"/>
            </w:pPr>
            <w:r>
              <w:tab/>
              <w:t>a)</w:t>
            </w:r>
            <w:r>
              <w:tab/>
            </w:r>
            <w:r w:rsidRPr="00036DCD">
              <w:t xml:space="preserve">Which </w:t>
            </w:r>
            <w:proofErr w:type="spellStart"/>
            <w:r w:rsidRPr="00036DCD">
              <w:t>IMT</w:t>
            </w:r>
            <w:proofErr w:type="spellEnd"/>
            <w:r w:rsidRPr="00036DCD">
              <w:t xml:space="preserve"> band(s) and frequency arrangement(s)</w:t>
            </w:r>
            <w:r w:rsidRPr="00CA1D27">
              <w:rPr>
                <w:rStyle w:val="FootnoteReference"/>
                <w:sz w:val="20"/>
                <w:szCs w:val="20"/>
                <w:vertAlign w:val="superscript"/>
              </w:rPr>
              <w:footnoteReference w:id="1"/>
            </w:r>
            <w:r w:rsidRPr="00036DCD">
              <w:t xml:space="preserve"> have been implemented</w:t>
            </w:r>
            <w:r>
              <w:t xml:space="preserve"> </w:t>
            </w:r>
            <w:r>
              <w:br/>
            </w:r>
            <w:r w:rsidRPr="00036DCD">
              <w:t>(e.g. in 700 MHz, 800 MHz, 900</w:t>
            </w:r>
            <w:r>
              <w:t> </w:t>
            </w:r>
            <w:r w:rsidRPr="00036DCD">
              <w:t xml:space="preserve">MHz)? </w:t>
            </w:r>
          </w:p>
        </w:tc>
        <w:tc>
          <w:tcPr>
            <w:tcW w:w="4508" w:type="dxa"/>
          </w:tcPr>
          <w:p w14:paraId="4CB95CD5" w14:textId="77777777" w:rsidR="006E5D96" w:rsidRPr="00155DC5" w:rsidRDefault="006E5D96" w:rsidP="006F7204">
            <w:pPr>
              <w:pStyle w:val="Tabletext"/>
              <w:spacing w:before="80" w:after="80"/>
              <w:ind w:left="567" w:hanging="567"/>
              <w:rPr>
                <w:iCs/>
                <w:lang w:val="es-ES"/>
              </w:rPr>
            </w:pPr>
            <w:r w:rsidRPr="00155DC5">
              <w:rPr>
                <w:iCs/>
                <w:lang w:val="es-ES"/>
              </w:rPr>
              <w:t xml:space="preserve">700 MHz: </w:t>
            </w:r>
            <w:proofErr w:type="spellStart"/>
            <w:r w:rsidRPr="00155DC5">
              <w:rPr>
                <w:iCs/>
                <w:lang w:val="es-ES"/>
              </w:rPr>
              <w:t>A7</w:t>
            </w:r>
            <w:proofErr w:type="spellEnd"/>
          </w:p>
          <w:p w14:paraId="7E2B46B8" w14:textId="77777777" w:rsidR="006E5D96" w:rsidRPr="00155DC5" w:rsidRDefault="006E5D96" w:rsidP="006F7204">
            <w:pPr>
              <w:pStyle w:val="Tabletext"/>
              <w:spacing w:before="80" w:after="80"/>
              <w:ind w:left="567" w:hanging="567"/>
              <w:rPr>
                <w:iCs/>
                <w:lang w:val="es-ES"/>
              </w:rPr>
            </w:pPr>
            <w:r w:rsidRPr="00155DC5">
              <w:rPr>
                <w:iCs/>
                <w:lang w:val="es-ES"/>
              </w:rPr>
              <w:t xml:space="preserve">800 MHz: </w:t>
            </w:r>
            <w:proofErr w:type="spellStart"/>
            <w:r w:rsidRPr="00155DC5">
              <w:rPr>
                <w:iCs/>
                <w:lang w:val="es-ES"/>
              </w:rPr>
              <w:t>A3</w:t>
            </w:r>
            <w:proofErr w:type="spellEnd"/>
          </w:p>
          <w:p w14:paraId="5D44FDE6" w14:textId="77777777" w:rsidR="006E5D96" w:rsidRPr="00155DC5" w:rsidRDefault="006E5D96" w:rsidP="006F7204">
            <w:pPr>
              <w:pStyle w:val="Tabletext"/>
              <w:spacing w:before="80" w:after="80"/>
              <w:ind w:left="567" w:hanging="567"/>
              <w:rPr>
                <w:iCs/>
                <w:lang w:val="es-ES"/>
              </w:rPr>
            </w:pPr>
            <w:r w:rsidRPr="00155DC5">
              <w:rPr>
                <w:iCs/>
                <w:lang w:val="es-ES"/>
              </w:rPr>
              <w:t xml:space="preserve">900 MHz: </w:t>
            </w:r>
            <w:proofErr w:type="spellStart"/>
            <w:r w:rsidRPr="00155DC5">
              <w:rPr>
                <w:iCs/>
                <w:lang w:val="es-ES"/>
              </w:rPr>
              <w:t>A2</w:t>
            </w:r>
            <w:proofErr w:type="spellEnd"/>
          </w:p>
        </w:tc>
      </w:tr>
      <w:tr w:rsidR="006E5D96" w:rsidRPr="00036DCD" w14:paraId="78EB08B9" w14:textId="77777777" w:rsidTr="006F7204">
        <w:trPr>
          <w:trHeight w:val="1321"/>
        </w:trPr>
        <w:tc>
          <w:tcPr>
            <w:tcW w:w="5098" w:type="dxa"/>
          </w:tcPr>
          <w:p w14:paraId="6F31BBC2" w14:textId="77777777" w:rsidR="006E5D96" w:rsidRPr="00036DCD" w:rsidRDefault="006E5D96" w:rsidP="006F7204">
            <w:pPr>
              <w:pStyle w:val="Tabletext"/>
              <w:spacing w:before="80"/>
              <w:ind w:left="567" w:hanging="567"/>
            </w:pPr>
            <w:r w:rsidRPr="00155DC5">
              <w:rPr>
                <w:lang w:val="es-ES"/>
              </w:rPr>
              <w:tab/>
            </w:r>
            <w:r>
              <w:t>b)</w:t>
            </w:r>
            <w:r>
              <w:tab/>
            </w:r>
            <w:r w:rsidRPr="00036DCD">
              <w:t>What amount of spectrum has been authorized in</w:t>
            </w:r>
            <w:r>
              <w:t> </w:t>
            </w:r>
            <w:r w:rsidRPr="00036DCD">
              <w:t xml:space="preserve">each of these bands? </w:t>
            </w:r>
          </w:p>
        </w:tc>
        <w:tc>
          <w:tcPr>
            <w:tcW w:w="4508" w:type="dxa"/>
          </w:tcPr>
          <w:p w14:paraId="61FCE235" w14:textId="77777777" w:rsidR="006E5D96" w:rsidRPr="000A53B1" w:rsidRDefault="006E5D96" w:rsidP="006F7204">
            <w:pPr>
              <w:pStyle w:val="Tabletext"/>
              <w:spacing w:before="80" w:after="80"/>
              <w:ind w:left="567" w:hanging="567"/>
              <w:rPr>
                <w:iCs/>
                <w:lang w:val="en-US"/>
              </w:rPr>
            </w:pPr>
            <w:r w:rsidRPr="000A53B1">
              <w:rPr>
                <w:iCs/>
              </w:rPr>
              <w:t>700 MHz: 703 – 723 // 758 – 778 (40</w:t>
            </w:r>
            <w:r w:rsidRPr="000A53B1">
              <w:rPr>
                <w:iCs/>
                <w:lang w:val="en-US"/>
              </w:rPr>
              <w:t xml:space="preserve"> MHz)</w:t>
            </w:r>
          </w:p>
          <w:p w14:paraId="3D7EF846" w14:textId="77777777" w:rsidR="006E5D96" w:rsidRPr="000A53B1" w:rsidRDefault="006E5D96" w:rsidP="006F7204">
            <w:pPr>
              <w:pStyle w:val="Tabletext"/>
              <w:spacing w:before="80" w:after="80"/>
              <w:ind w:left="567" w:hanging="567"/>
              <w:rPr>
                <w:iCs/>
              </w:rPr>
            </w:pPr>
            <w:r w:rsidRPr="000A53B1">
              <w:rPr>
                <w:iCs/>
              </w:rPr>
              <w:t>800 MHz: 791 – 811 // 832 – 852 (40</w:t>
            </w:r>
            <w:r w:rsidRPr="000A53B1">
              <w:rPr>
                <w:iCs/>
                <w:lang w:val="en-US"/>
              </w:rPr>
              <w:t xml:space="preserve"> MHz)</w:t>
            </w:r>
          </w:p>
          <w:p w14:paraId="4B077A48" w14:textId="77777777" w:rsidR="006E5D96" w:rsidRPr="000A53B1" w:rsidRDefault="006E5D96" w:rsidP="006F7204">
            <w:pPr>
              <w:pStyle w:val="Tabletext"/>
              <w:spacing w:before="80" w:after="80"/>
              <w:ind w:left="567" w:hanging="567"/>
              <w:rPr>
                <w:iCs/>
              </w:rPr>
            </w:pPr>
            <w:r w:rsidRPr="000A53B1">
              <w:rPr>
                <w:iCs/>
              </w:rPr>
              <w:t>900 MHz: 880 – 915 // 925 – 960 (35</w:t>
            </w:r>
            <w:r w:rsidRPr="000A53B1">
              <w:rPr>
                <w:iCs/>
                <w:lang w:val="en-US"/>
              </w:rPr>
              <w:t xml:space="preserve"> MHz)</w:t>
            </w:r>
          </w:p>
        </w:tc>
      </w:tr>
      <w:tr w:rsidR="006E5D96" w:rsidRPr="00036DCD" w14:paraId="30A69459" w14:textId="77777777" w:rsidTr="006F7204">
        <w:trPr>
          <w:trHeight w:val="1904"/>
        </w:trPr>
        <w:tc>
          <w:tcPr>
            <w:tcW w:w="5098" w:type="dxa"/>
          </w:tcPr>
          <w:p w14:paraId="6BBAA8FA" w14:textId="77777777" w:rsidR="006E5D96" w:rsidRPr="00036DCD" w:rsidRDefault="006E5D96" w:rsidP="006F7204">
            <w:pPr>
              <w:pStyle w:val="Tabletext"/>
              <w:spacing w:before="80" w:after="80"/>
              <w:ind w:left="567" w:hanging="567"/>
            </w:pPr>
            <w:r>
              <w:tab/>
              <w:t>c)</w:t>
            </w:r>
            <w:r>
              <w:tab/>
            </w:r>
            <w:r w:rsidRPr="00036DCD">
              <w:t xml:space="preserve">Which </w:t>
            </w:r>
            <w:proofErr w:type="spellStart"/>
            <w:r w:rsidRPr="00036DCD">
              <w:t>IMT</w:t>
            </w:r>
            <w:proofErr w:type="spellEnd"/>
            <w:r w:rsidRPr="00036DCD">
              <w:t xml:space="preserve"> technologies have been implemented</w:t>
            </w:r>
            <w:r w:rsidRPr="00036DCD">
              <w:rPr>
                <w:lang w:val="en-US"/>
              </w:rPr>
              <w:t xml:space="preserve"> and what is the coverage of corresponding network (%</w:t>
            </w:r>
            <w:r>
              <w:rPr>
                <w:lang w:val="en-US"/>
              </w:rPr>
              <w:t> </w:t>
            </w:r>
            <w:r w:rsidRPr="00036DCD">
              <w:rPr>
                <w:lang w:val="en-US"/>
              </w:rPr>
              <w:t>of</w:t>
            </w:r>
            <w:r>
              <w:rPr>
                <w:lang w:val="en-US"/>
              </w:rPr>
              <w:t> </w:t>
            </w:r>
            <w:r w:rsidRPr="00036DCD">
              <w:rPr>
                <w:lang w:val="en-US"/>
              </w:rPr>
              <w:t>population covered by at least one operator)?</w:t>
            </w:r>
            <w:r w:rsidRPr="00036DCD">
              <w:t xml:space="preserve"> </w:t>
            </w:r>
          </w:p>
        </w:tc>
        <w:tc>
          <w:tcPr>
            <w:tcW w:w="4508" w:type="dxa"/>
          </w:tcPr>
          <w:p w14:paraId="72F15DC0" w14:textId="77777777" w:rsidR="006E5D96" w:rsidRPr="000A53B1" w:rsidRDefault="006E5D96" w:rsidP="006F7204">
            <w:pPr>
              <w:pStyle w:val="Tabletext"/>
              <w:spacing w:before="80" w:after="80"/>
              <w:ind w:left="567" w:hanging="567"/>
              <w:rPr>
                <w:iCs/>
                <w:color w:val="00000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6E5D96" w:rsidRPr="00502DE3" w14:paraId="07F59EDC" w14:textId="77777777" w:rsidTr="006F7204">
        <w:trPr>
          <w:trHeight w:val="2304"/>
        </w:trPr>
        <w:tc>
          <w:tcPr>
            <w:tcW w:w="5098" w:type="dxa"/>
          </w:tcPr>
          <w:p w14:paraId="0195EF14" w14:textId="77777777" w:rsidR="006E5D96" w:rsidRPr="00036DCD" w:rsidRDefault="006E5D96" w:rsidP="006F7204">
            <w:pPr>
              <w:pStyle w:val="Tabletext"/>
              <w:spacing w:before="80" w:after="80"/>
              <w:ind w:left="567" w:hanging="567"/>
            </w:pPr>
            <w:r>
              <w:tab/>
              <w:t>d)</w:t>
            </w:r>
            <w:r>
              <w:tab/>
            </w:r>
            <w:r w:rsidRPr="00036DCD">
              <w:t>What is the total number of base stations</w:t>
            </w:r>
            <w:r w:rsidRPr="00036DCD">
              <w:rPr>
                <w:lang w:val="en-US"/>
              </w:rPr>
              <w:t xml:space="preserve"> per </w:t>
            </w:r>
            <w:proofErr w:type="spellStart"/>
            <w:r w:rsidRPr="00036DCD">
              <w:rPr>
                <w:lang w:val="en-US"/>
              </w:rPr>
              <w:t>IMT</w:t>
            </w:r>
            <w:proofErr w:type="spellEnd"/>
            <w:r>
              <w:rPr>
                <w:lang w:val="en-US"/>
              </w:rPr>
              <w:t> </w:t>
            </w:r>
            <w:r w:rsidRPr="00036DCD">
              <w:rPr>
                <w:lang w:val="en-US"/>
              </w:rPr>
              <w:t>technology?</w:t>
            </w:r>
          </w:p>
        </w:tc>
        <w:tc>
          <w:tcPr>
            <w:tcW w:w="4508" w:type="dxa"/>
          </w:tcPr>
          <w:p w14:paraId="70019673" w14:textId="77777777" w:rsidR="006E5D96" w:rsidRPr="000A53B1" w:rsidRDefault="006E5D96" w:rsidP="006F7204">
            <w:pPr>
              <w:pStyle w:val="Tabletext"/>
              <w:spacing w:before="80" w:after="80"/>
              <w:rPr>
                <w:iCs/>
                <w:color w:val="000000"/>
                <w:highlight w:val="yellow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6E5D96" w:rsidRPr="00036DCD" w14:paraId="1FDFA94E" w14:textId="77777777" w:rsidTr="006F7204">
        <w:tc>
          <w:tcPr>
            <w:tcW w:w="5098" w:type="dxa"/>
            <w:shd w:val="clear" w:color="auto" w:fill="F2F2F2" w:themeFill="background1" w:themeFillShade="F2"/>
          </w:tcPr>
          <w:p w14:paraId="74DC1E48" w14:textId="77777777" w:rsidR="006E5D96" w:rsidRPr="00036DCD" w:rsidRDefault="006E5D96" w:rsidP="006F7204">
            <w:pPr>
              <w:pStyle w:val="Tabletext"/>
            </w:pPr>
            <w:r w:rsidRPr="00036DCD">
              <w:t xml:space="preserve"> 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3B82B17C" w14:textId="77777777" w:rsidR="006E5D96" w:rsidRPr="00036DCD" w:rsidRDefault="006E5D96" w:rsidP="006F7204">
            <w:pPr>
              <w:pStyle w:val="Tabletext"/>
              <w:rPr>
                <w:color w:val="00000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6E5D96" w:rsidRPr="00036DCD" w14:paraId="5629AB42" w14:textId="77777777" w:rsidTr="006F7204">
        <w:trPr>
          <w:trHeight w:val="1270"/>
        </w:trPr>
        <w:tc>
          <w:tcPr>
            <w:tcW w:w="5098" w:type="dxa"/>
          </w:tcPr>
          <w:p w14:paraId="626EE535" w14:textId="77777777" w:rsidR="006E5D96" w:rsidRPr="00036DCD" w:rsidRDefault="006E5D96" w:rsidP="006F7204">
            <w:pPr>
              <w:pStyle w:val="Tabletext"/>
              <w:keepNext/>
              <w:keepLines/>
              <w:spacing w:before="80" w:after="80"/>
              <w:ind w:left="284" w:hanging="284"/>
            </w:pPr>
            <w:r w:rsidRPr="00226893">
              <w:lastRenderedPageBreak/>
              <w:t>2.</w:t>
            </w:r>
            <w:r>
              <w:tab/>
            </w:r>
            <w:r w:rsidRPr="00036DCD">
              <w:t xml:space="preserve">Does your administration intend to implement additional spectrum for </w:t>
            </w:r>
            <w:proofErr w:type="spellStart"/>
            <w:r w:rsidRPr="00036DCD">
              <w:t>IMT</w:t>
            </w:r>
            <w:proofErr w:type="spellEnd"/>
            <w:r w:rsidRPr="00036DCD">
              <w:t xml:space="preserve"> applications/systems in</w:t>
            </w:r>
            <w:r>
              <w:t> </w:t>
            </w:r>
            <w:r w:rsidRPr="00036DCD">
              <w:t xml:space="preserve">the frequency band 694-960 </w:t>
            </w:r>
            <w:proofErr w:type="spellStart"/>
            <w:r w:rsidRPr="00036DCD">
              <w:t>MHz.</w:t>
            </w:r>
            <w:proofErr w:type="spellEnd"/>
            <w:r>
              <w:br/>
            </w:r>
            <w:r w:rsidRPr="00036DCD">
              <w:t>If so, please indicate in which band(s).</w:t>
            </w:r>
          </w:p>
        </w:tc>
        <w:tc>
          <w:tcPr>
            <w:tcW w:w="4508" w:type="dxa"/>
          </w:tcPr>
          <w:p w14:paraId="535C1438" w14:textId="77777777" w:rsidR="006E5D96" w:rsidRDefault="006E5D96" w:rsidP="006F7204">
            <w:pPr>
              <w:pStyle w:val="Tabletext"/>
              <w:spacing w:before="80"/>
            </w:pPr>
            <w:r w:rsidRPr="00036DCD">
              <w:t xml:space="preserve">Yes, </w:t>
            </w:r>
            <w:r>
              <w:t xml:space="preserve">the bands are: </w:t>
            </w:r>
          </w:p>
          <w:p w14:paraId="0E808CC0" w14:textId="77777777" w:rsidR="006E5D96" w:rsidRPr="00226893" w:rsidRDefault="006E5D96" w:rsidP="006E5D96">
            <w:pPr>
              <w:pStyle w:val="Tabletext"/>
              <w:numPr>
                <w:ilvl w:val="0"/>
                <w:numId w:val="1"/>
              </w:numPr>
              <w:spacing w:before="80"/>
            </w:pPr>
            <w:r>
              <w:t xml:space="preserve">   20 MHz (</w:t>
            </w:r>
            <w:proofErr w:type="spellStart"/>
            <w:r>
              <w:t>A10</w:t>
            </w:r>
            <w:proofErr w:type="spellEnd"/>
            <w:r>
              <w:t>)</w:t>
            </w:r>
          </w:p>
          <w:p w14:paraId="74A46482" w14:textId="77777777" w:rsidR="006E5D96" w:rsidRDefault="006E5D96" w:rsidP="006E5D96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lang w:val="en-GB"/>
              </w:rPr>
              <w:t>2x10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GB"/>
              </w:rPr>
              <w:t xml:space="preserve"> MHz</w:t>
            </w:r>
            <w:r w:rsidRPr="00226893">
              <w:rPr>
                <w:rFonts w:ascii="Times New Roman" w:eastAsiaTheme="minorHAnsi" w:hAnsi="Times New Roman"/>
                <w:sz w:val="20"/>
                <w:lang w:val="en-GB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lang w:val="en-GB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val="en-GB"/>
              </w:rPr>
              <w:t>A7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GB"/>
              </w:rPr>
              <w:t>)</w:t>
            </w:r>
          </w:p>
          <w:p w14:paraId="61B0C95C" w14:textId="77777777" w:rsidR="006E5D96" w:rsidRPr="00226893" w:rsidRDefault="006E5D96" w:rsidP="006E5D96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lang w:val="en-GB"/>
              </w:rPr>
              <w:t>2x10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GB"/>
              </w:rPr>
              <w:t xml:space="preserve"> MHz (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val="en-GB"/>
              </w:rPr>
              <w:t>A3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GB"/>
              </w:rPr>
              <w:t>)</w:t>
            </w:r>
          </w:p>
        </w:tc>
      </w:tr>
      <w:tr w:rsidR="006E5D96" w:rsidRPr="00036DCD" w14:paraId="67976504" w14:textId="77777777" w:rsidTr="006F7204">
        <w:tc>
          <w:tcPr>
            <w:tcW w:w="5098" w:type="dxa"/>
            <w:shd w:val="clear" w:color="auto" w:fill="F2F2F2" w:themeFill="background1" w:themeFillShade="F2"/>
          </w:tcPr>
          <w:p w14:paraId="179BDED7" w14:textId="77777777" w:rsidR="006E5D96" w:rsidRPr="00036DCD" w:rsidRDefault="006E5D96" w:rsidP="006F7204">
            <w:pPr>
              <w:pStyle w:val="Tabletext"/>
              <w:keepNext/>
              <w:keepLines/>
              <w:spacing w:before="80"/>
              <w:ind w:left="284" w:hanging="284"/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51C0AC1B" w14:textId="77777777" w:rsidR="006E5D96" w:rsidRPr="00036DCD" w:rsidRDefault="006E5D96" w:rsidP="006F7204">
            <w:pPr>
              <w:pStyle w:val="Tabletext"/>
              <w:keepNext/>
              <w:keepLines/>
              <w:spacing w:before="80"/>
              <w:ind w:left="284" w:hanging="284"/>
              <w:rPr>
                <w:color w:val="00000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6E5D96" w:rsidRPr="00036DCD" w14:paraId="2B3ECF90" w14:textId="77777777" w:rsidTr="006F7204">
        <w:trPr>
          <w:trHeight w:val="1519"/>
        </w:trPr>
        <w:tc>
          <w:tcPr>
            <w:tcW w:w="5098" w:type="dxa"/>
          </w:tcPr>
          <w:p w14:paraId="360B4928" w14:textId="77777777" w:rsidR="006E5D96" w:rsidRPr="00036DCD" w:rsidRDefault="006E5D96" w:rsidP="006F7204">
            <w:pPr>
              <w:pStyle w:val="Tabletext"/>
              <w:keepNext/>
              <w:keepLines/>
              <w:spacing w:before="80"/>
              <w:ind w:left="284" w:hanging="284"/>
            </w:pPr>
            <w:r w:rsidRPr="00EA7B77">
              <w:rPr>
                <w:b/>
                <w:bCs/>
              </w:rPr>
              <w:t>3.</w:t>
            </w:r>
            <w:r>
              <w:tab/>
            </w:r>
            <w:r w:rsidRPr="00036DCD">
              <w:t xml:space="preserve">Which additional spectrum does your administration </w:t>
            </w:r>
            <w:r w:rsidRPr="00154071">
              <w:t xml:space="preserve">anticipate will be required by </w:t>
            </w:r>
            <w:proofErr w:type="spellStart"/>
            <w:r w:rsidRPr="00154071">
              <w:t>IMT</w:t>
            </w:r>
            <w:proofErr w:type="spellEnd"/>
            <w:r w:rsidRPr="00154071">
              <w:t xml:space="preserve"> applications</w:t>
            </w:r>
            <w:r w:rsidRPr="00154071">
              <w:rPr>
                <w:lang w:val="en-US"/>
              </w:rPr>
              <w:t>/systems</w:t>
            </w:r>
            <w:r w:rsidRPr="00154071">
              <w:t xml:space="preserve"> in</w:t>
            </w:r>
            <w:r w:rsidRPr="00036DCD">
              <w:t xml:space="preserve"> the mobile (except</w:t>
            </w:r>
            <w:r>
              <w:t> </w:t>
            </w:r>
            <w:r w:rsidRPr="00036DCD">
              <w:t>aeronautical mobile) service in the band</w:t>
            </w:r>
            <w:r>
              <w:t> </w:t>
            </w:r>
            <w:r w:rsidRPr="00036DCD">
              <w:t>470</w:t>
            </w:r>
            <w:r>
              <w:noBreakHyphen/>
            </w:r>
            <w:r w:rsidRPr="00036DCD">
              <w:t xml:space="preserve">694 MHz? </w:t>
            </w:r>
            <w:r>
              <w:br/>
            </w:r>
            <w:r w:rsidRPr="00036DCD">
              <w:t>Could you specify:</w:t>
            </w:r>
          </w:p>
        </w:tc>
        <w:tc>
          <w:tcPr>
            <w:tcW w:w="4508" w:type="dxa"/>
          </w:tcPr>
          <w:p w14:paraId="6A02634A" w14:textId="77777777" w:rsidR="006E5D96" w:rsidRDefault="006E5D96" w:rsidP="006F7204">
            <w:pPr>
              <w:pStyle w:val="Tabletext"/>
              <w:spacing w:before="80"/>
              <w:jc w:val="both"/>
              <w:rPr>
                <w:spacing w:val="-2"/>
              </w:rPr>
            </w:pPr>
            <w:r>
              <w:rPr>
                <w:spacing w:val="-2"/>
              </w:rPr>
              <w:t>H</w:t>
            </w:r>
            <w:r w:rsidRPr="007B6A63">
              <w:rPr>
                <w:spacing w:val="-2"/>
              </w:rPr>
              <w:t xml:space="preserve">istorically </w:t>
            </w:r>
            <w:r>
              <w:rPr>
                <w:spacing w:val="-2"/>
              </w:rPr>
              <w:t>t</w:t>
            </w:r>
            <w:r w:rsidRPr="007B6A63">
              <w:rPr>
                <w:spacing w:val="-2"/>
              </w:rPr>
              <w:t>his band has been allocated for terrestr</w:t>
            </w:r>
            <w:r>
              <w:rPr>
                <w:spacing w:val="-2"/>
              </w:rPr>
              <w:t>ial TV in Saudi Arabia.</w:t>
            </w:r>
            <w:r w:rsidRPr="007B6A63">
              <w:rPr>
                <w:spacing w:val="-2"/>
              </w:rPr>
              <w:t xml:space="preserve">  </w:t>
            </w:r>
            <w:r>
              <w:rPr>
                <w:spacing w:val="-2"/>
              </w:rPr>
              <w:t>S</w:t>
            </w:r>
            <w:r w:rsidRPr="007B6A63">
              <w:rPr>
                <w:spacing w:val="-2"/>
              </w:rPr>
              <w:t xml:space="preserve">ome administrations </w:t>
            </w:r>
            <w:r>
              <w:rPr>
                <w:spacing w:val="-2"/>
              </w:rPr>
              <w:t>have</w:t>
            </w:r>
            <w:r w:rsidRPr="007B6A63">
              <w:rPr>
                <w:spacing w:val="-2"/>
              </w:rPr>
              <w:t xml:space="preserve"> already </w:t>
            </w:r>
            <w:r>
              <w:rPr>
                <w:spacing w:val="-2"/>
              </w:rPr>
              <w:t>identified part of the</w:t>
            </w:r>
            <w:r w:rsidRPr="007B6A63">
              <w:rPr>
                <w:spacing w:val="-2"/>
              </w:rPr>
              <w:t xml:space="preserve"> band for </w:t>
            </w:r>
            <w:proofErr w:type="spellStart"/>
            <w:r w:rsidRPr="007B6A63">
              <w:rPr>
                <w:spacing w:val="-2"/>
              </w:rPr>
              <w:t>IMT</w:t>
            </w:r>
            <w:proofErr w:type="spellEnd"/>
            <w:r>
              <w:rPr>
                <w:spacing w:val="-2"/>
              </w:rPr>
              <w:t xml:space="preserve"> and</w:t>
            </w:r>
            <w:r w:rsidRPr="007B6A63">
              <w:rPr>
                <w:spacing w:val="-2"/>
              </w:rPr>
              <w:t xml:space="preserve"> </w:t>
            </w:r>
            <w:r w:rsidRPr="00CF0EFD">
              <w:rPr>
                <w:spacing w:val="-2"/>
              </w:rPr>
              <w:t>repacked broadcasters in lower UHF frequencies.</w:t>
            </w:r>
          </w:p>
          <w:p w14:paraId="78A7ECF7" w14:textId="77777777" w:rsidR="006E5D96" w:rsidRPr="00BF4406" w:rsidRDefault="006E5D96" w:rsidP="006F7204">
            <w:pPr>
              <w:pStyle w:val="Tabletext"/>
              <w:spacing w:before="80"/>
              <w:jc w:val="both"/>
              <w:rPr>
                <w:spacing w:val="-2"/>
              </w:rPr>
            </w:pPr>
            <w:r w:rsidRPr="007B6A63">
              <w:rPr>
                <w:spacing w:val="-2"/>
              </w:rPr>
              <w:t xml:space="preserve">In Saudi Arabia, there is very limited demand for terrestrial TV, only 1% of all households </w:t>
            </w:r>
            <w:proofErr w:type="gramStart"/>
            <w:r w:rsidRPr="007B6A63">
              <w:rPr>
                <w:spacing w:val="-2"/>
              </w:rPr>
              <w:t xml:space="preserve">actually </w:t>
            </w:r>
            <w:r>
              <w:rPr>
                <w:spacing w:val="-2"/>
              </w:rPr>
              <w:t>view</w:t>
            </w:r>
            <w:proofErr w:type="gramEnd"/>
            <w:r>
              <w:rPr>
                <w:spacing w:val="-2"/>
              </w:rPr>
              <w:t xml:space="preserve"> </w:t>
            </w:r>
            <w:r w:rsidRPr="007B6A63">
              <w:rPr>
                <w:spacing w:val="-2"/>
              </w:rPr>
              <w:t>terrestrial broadcast signals.  This suggests an oppor</w:t>
            </w:r>
            <w:r>
              <w:rPr>
                <w:spacing w:val="-2"/>
              </w:rPr>
              <w:t xml:space="preserve">tunity to </w:t>
            </w:r>
            <w:proofErr w:type="spellStart"/>
            <w:r>
              <w:rPr>
                <w:spacing w:val="-2"/>
              </w:rPr>
              <w:t>refarm</w:t>
            </w:r>
            <w:proofErr w:type="spellEnd"/>
            <w:r>
              <w:rPr>
                <w:spacing w:val="-2"/>
              </w:rPr>
              <w:t xml:space="preserve"> the band (</w:t>
            </w:r>
            <w:r w:rsidRPr="00BF4406">
              <w:rPr>
                <w:spacing w:val="-2"/>
              </w:rPr>
              <w:t>614-694</w:t>
            </w:r>
            <w:r>
              <w:rPr>
                <w:spacing w:val="-2"/>
              </w:rPr>
              <w:t>)</w:t>
            </w:r>
            <w:r w:rsidRPr="00BF4406">
              <w:rPr>
                <w:spacing w:val="-2"/>
              </w:rPr>
              <w:t xml:space="preserve"> MHz</w:t>
            </w:r>
            <w:r>
              <w:rPr>
                <w:spacing w:val="-2"/>
              </w:rPr>
              <w:t xml:space="preserve"> to be used for </w:t>
            </w:r>
            <w:proofErr w:type="spellStart"/>
            <w:r>
              <w:rPr>
                <w:spacing w:val="-2"/>
              </w:rPr>
              <w:t>IMT</w:t>
            </w:r>
            <w:proofErr w:type="spellEnd"/>
            <w:r>
              <w:rPr>
                <w:spacing w:val="-2"/>
              </w:rPr>
              <w:t xml:space="preserve"> </w:t>
            </w:r>
            <w:r w:rsidRPr="00BF4406">
              <w:rPr>
                <w:spacing w:val="-2"/>
              </w:rPr>
              <w:t xml:space="preserve">in </w:t>
            </w:r>
            <w:r>
              <w:rPr>
                <w:spacing w:val="-2"/>
              </w:rPr>
              <w:t>order to meet the increasing demand of broadband applications.</w:t>
            </w:r>
          </w:p>
          <w:p w14:paraId="5D3AACD3" w14:textId="77777777" w:rsidR="006E5D96" w:rsidRPr="00BF4406" w:rsidRDefault="006E5D96" w:rsidP="006F7204">
            <w:pPr>
              <w:jc w:val="both"/>
              <w:rPr>
                <w:spacing w:val="-2"/>
                <w:sz w:val="20"/>
              </w:rPr>
            </w:pPr>
            <w:r>
              <w:rPr>
                <w:sz w:val="20"/>
                <w:lang w:val="en-US"/>
              </w:rPr>
              <w:t xml:space="preserve">Given that this band is a sub-1 GHz band and using it for </w:t>
            </w:r>
            <w:proofErr w:type="spellStart"/>
            <w:r>
              <w:rPr>
                <w:sz w:val="20"/>
                <w:lang w:val="en-US"/>
              </w:rPr>
              <w:t>IMT</w:t>
            </w:r>
            <w:proofErr w:type="spellEnd"/>
            <w:r>
              <w:rPr>
                <w:sz w:val="20"/>
                <w:lang w:val="en-US"/>
              </w:rPr>
              <w:t xml:space="preserve"> will provide a wide-area mobile coverage using </w:t>
            </w:r>
            <w:proofErr w:type="spellStart"/>
            <w:r>
              <w:rPr>
                <w:sz w:val="20"/>
                <w:lang w:val="en-US"/>
              </w:rPr>
              <w:t>4G</w:t>
            </w:r>
            <w:proofErr w:type="spellEnd"/>
            <w:r>
              <w:rPr>
                <w:sz w:val="20"/>
                <w:lang w:val="en-US"/>
              </w:rPr>
              <w:t xml:space="preserve"> and </w:t>
            </w:r>
            <w:proofErr w:type="spellStart"/>
            <w:r>
              <w:rPr>
                <w:sz w:val="20"/>
                <w:lang w:val="en-US"/>
              </w:rPr>
              <w:t>5G</w:t>
            </w:r>
            <w:proofErr w:type="spellEnd"/>
            <w:r>
              <w:rPr>
                <w:sz w:val="20"/>
                <w:lang w:val="en-US"/>
              </w:rPr>
              <w:t xml:space="preserve"> technology.</w:t>
            </w:r>
          </w:p>
          <w:p w14:paraId="2F05067A" w14:textId="77777777" w:rsidR="006E5D96" w:rsidRPr="00BF4406" w:rsidRDefault="006E5D96" w:rsidP="006F7204">
            <w:pPr>
              <w:pStyle w:val="Tabletext"/>
              <w:spacing w:before="80"/>
              <w:rPr>
                <w:spacing w:val="-2"/>
                <w:lang w:val="en-US"/>
              </w:rPr>
            </w:pPr>
          </w:p>
          <w:p w14:paraId="6ED63868" w14:textId="77777777" w:rsidR="006E5D96" w:rsidRPr="00BF4406" w:rsidRDefault="006E5D96" w:rsidP="006F7204">
            <w:pPr>
              <w:pStyle w:val="Tabletext"/>
              <w:spacing w:before="80"/>
              <w:rPr>
                <w:spacing w:val="-2"/>
              </w:rPr>
            </w:pPr>
          </w:p>
        </w:tc>
      </w:tr>
      <w:tr w:rsidR="006E5D96" w:rsidRPr="00036DCD" w14:paraId="0247F918" w14:textId="77777777" w:rsidTr="006F7204">
        <w:trPr>
          <w:trHeight w:val="3907"/>
        </w:trPr>
        <w:tc>
          <w:tcPr>
            <w:tcW w:w="5098" w:type="dxa"/>
          </w:tcPr>
          <w:p w14:paraId="23ADA2CD" w14:textId="77777777" w:rsidR="006E5D96" w:rsidRPr="00036DCD" w:rsidRDefault="006E5D96" w:rsidP="006F7204">
            <w:pPr>
              <w:pStyle w:val="Tabletext"/>
              <w:spacing w:before="80"/>
              <w:ind w:left="567" w:hanging="567"/>
            </w:pPr>
            <w:r>
              <w:tab/>
              <w:t>a)</w:t>
            </w:r>
            <w:r>
              <w:tab/>
            </w:r>
            <w:r w:rsidRPr="00036DCD">
              <w:t>the amount of spectrum expected to be required</w:t>
            </w:r>
          </w:p>
        </w:tc>
        <w:tc>
          <w:tcPr>
            <w:tcW w:w="4508" w:type="dxa"/>
          </w:tcPr>
          <w:p w14:paraId="574B63FE" w14:textId="77777777" w:rsidR="006E5D96" w:rsidRPr="00BF4406" w:rsidRDefault="006E5D96" w:rsidP="006F7204">
            <w:pPr>
              <w:pStyle w:val="Tabletext"/>
              <w:spacing w:before="80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t xml:space="preserve"> x</w:t>
            </w:r>
            <w:r>
              <w:rPr>
                <w:spacing w:val="-2"/>
              </w:rPr>
              <w:t xml:space="preserve"> 35 (</w:t>
            </w:r>
            <w:proofErr w:type="spellStart"/>
            <w:r>
              <w:rPr>
                <w:spacing w:val="-2"/>
              </w:rPr>
              <w:t>FDD</w:t>
            </w:r>
            <w:proofErr w:type="spellEnd"/>
            <w:r>
              <w:rPr>
                <w:spacing w:val="-2"/>
              </w:rPr>
              <w:t xml:space="preserve">) in the 600 MHz </w:t>
            </w:r>
          </w:p>
        </w:tc>
      </w:tr>
      <w:tr w:rsidR="006E5D96" w:rsidRPr="00036DCD" w14:paraId="0FBEA10F" w14:textId="77777777" w:rsidTr="006F7204">
        <w:trPr>
          <w:trHeight w:val="702"/>
        </w:trPr>
        <w:tc>
          <w:tcPr>
            <w:tcW w:w="5098" w:type="dxa"/>
          </w:tcPr>
          <w:p w14:paraId="1E2BBDD3" w14:textId="77777777" w:rsidR="006E5D96" w:rsidRPr="00036DCD" w:rsidRDefault="006E5D96" w:rsidP="006F7204">
            <w:pPr>
              <w:pStyle w:val="Tabletext"/>
              <w:spacing w:before="80"/>
              <w:ind w:left="567" w:hanging="567"/>
            </w:pPr>
            <w:r>
              <w:tab/>
              <w:t>b)</w:t>
            </w:r>
            <w:r>
              <w:tab/>
            </w:r>
            <w:r w:rsidRPr="00036DCD">
              <w:t>the timeline in which it will be required</w:t>
            </w:r>
          </w:p>
        </w:tc>
        <w:tc>
          <w:tcPr>
            <w:tcW w:w="4508" w:type="dxa"/>
          </w:tcPr>
          <w:p w14:paraId="0F1E12A9" w14:textId="77777777" w:rsidR="006E5D96" w:rsidRPr="00B17FAF" w:rsidRDefault="006E5D96" w:rsidP="006F7204">
            <w:pPr>
              <w:pStyle w:val="ListBullet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eastAsiaTheme="minorHAnsi" w:hAnsi="Times New Roman"/>
                <w:sz w:val="20"/>
                <w:rtl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The usage of this band for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>IMT</w:t>
            </w:r>
            <w:proofErr w:type="spellEnd"/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 requires reframing </w:t>
            </w:r>
            <w:r w:rsidRPr="00BF67DF">
              <w:rPr>
                <w:rFonts w:ascii="Times New Roman" w:eastAsiaTheme="minorHAnsi" w:hAnsi="Times New Roman"/>
                <w:sz w:val="20"/>
                <w:lang w:val="en-US" w:eastAsia="en-US"/>
              </w:rPr>
              <w:t>the current TV stations to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 be in</w:t>
            </w:r>
            <w:r w:rsidRPr="00BF67DF"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 the lower part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 and w</w:t>
            </w:r>
            <w:r w:rsidRPr="00BF67DF"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e anticipate that most 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of the </w:t>
            </w:r>
            <w:r w:rsidRPr="00BF67DF">
              <w:rPr>
                <w:rFonts w:ascii="Times New Roman" w:eastAsiaTheme="minorHAnsi" w:hAnsi="Times New Roman"/>
                <w:sz w:val="20"/>
                <w:lang w:val="en-US" w:eastAsia="en-US"/>
              </w:rPr>
              <w:t>spectrum will be availabl</w:t>
            </w:r>
            <w:r>
              <w:rPr>
                <w:rFonts w:ascii="Times New Roman" w:eastAsiaTheme="minorHAnsi" w:hAnsi="Times New Roman"/>
                <w:sz w:val="20"/>
                <w:lang w:val="en-US" w:eastAsia="en-US"/>
              </w:rPr>
              <w:t xml:space="preserve">e to be used within 1-3 years from the beginning of the repacking process, which will be started in 2021. </w:t>
            </w:r>
          </w:p>
        </w:tc>
      </w:tr>
      <w:tr w:rsidR="006E5D96" w:rsidRPr="00036DCD" w14:paraId="2A44F3C1" w14:textId="77777777" w:rsidTr="006F7204">
        <w:trPr>
          <w:trHeight w:val="560"/>
        </w:trPr>
        <w:tc>
          <w:tcPr>
            <w:tcW w:w="5098" w:type="dxa"/>
          </w:tcPr>
          <w:p w14:paraId="1F3570C0" w14:textId="77777777" w:rsidR="006E5D96" w:rsidRPr="00036DCD" w:rsidRDefault="006E5D96" w:rsidP="006F7204">
            <w:pPr>
              <w:pStyle w:val="Tabletext"/>
              <w:spacing w:before="80"/>
              <w:ind w:left="567" w:hanging="567"/>
            </w:pPr>
            <w:r>
              <w:tab/>
              <w:t>c)</w:t>
            </w:r>
            <w:r>
              <w:tab/>
            </w:r>
            <w:r w:rsidRPr="00036DCD">
              <w:t>the duplex mode (</w:t>
            </w:r>
            <w:proofErr w:type="spellStart"/>
            <w:r w:rsidRPr="00036DCD">
              <w:t>TDD</w:t>
            </w:r>
            <w:proofErr w:type="spellEnd"/>
            <w:r w:rsidRPr="00036DCD">
              <w:t xml:space="preserve">, </w:t>
            </w:r>
            <w:proofErr w:type="spellStart"/>
            <w:r w:rsidRPr="00036DCD">
              <w:t>FDD</w:t>
            </w:r>
            <w:proofErr w:type="spellEnd"/>
            <w:r w:rsidRPr="00036DCD">
              <w:t>, downlink only)</w:t>
            </w:r>
          </w:p>
        </w:tc>
        <w:tc>
          <w:tcPr>
            <w:tcW w:w="4508" w:type="dxa"/>
          </w:tcPr>
          <w:p w14:paraId="60334758" w14:textId="77777777" w:rsidR="006E5D96" w:rsidRPr="00F72434" w:rsidRDefault="006E5D96" w:rsidP="006F7204">
            <w:pPr>
              <w:pStyle w:val="NormalWeb"/>
              <w:jc w:val="both"/>
              <w:rPr>
                <w:spacing w:val="-2"/>
                <w:sz w:val="20"/>
                <w:szCs w:val="22"/>
                <w:lang w:val="en-GB"/>
              </w:rPr>
            </w:pPr>
            <w:r w:rsidRPr="00F72434">
              <w:rPr>
                <w:spacing w:val="-2"/>
                <w:sz w:val="20"/>
                <w:szCs w:val="22"/>
                <w:lang w:val="en-GB"/>
              </w:rPr>
              <w:t xml:space="preserve">We plan to adopt the current ecosystem deployed in some countries that support </w:t>
            </w:r>
            <w:proofErr w:type="spellStart"/>
            <w:r w:rsidRPr="00F72434">
              <w:rPr>
                <w:spacing w:val="-2"/>
                <w:sz w:val="20"/>
                <w:szCs w:val="22"/>
                <w:lang w:val="en-GB"/>
              </w:rPr>
              <w:t>FDD</w:t>
            </w:r>
            <w:proofErr w:type="spellEnd"/>
            <w:r w:rsidRPr="00F72434">
              <w:rPr>
                <w:spacing w:val="-2"/>
                <w:sz w:val="20"/>
                <w:szCs w:val="22"/>
                <w:lang w:val="en-GB"/>
              </w:rPr>
              <w:t xml:space="preserve"> with (617-652/663-698) band plan.</w:t>
            </w:r>
          </w:p>
        </w:tc>
      </w:tr>
      <w:tr w:rsidR="006E5D96" w:rsidRPr="00036DCD" w14:paraId="5C817F62" w14:textId="77777777" w:rsidTr="006F7204">
        <w:tc>
          <w:tcPr>
            <w:tcW w:w="5098" w:type="dxa"/>
            <w:shd w:val="clear" w:color="auto" w:fill="F2F2F2" w:themeFill="background1" w:themeFillShade="F2"/>
          </w:tcPr>
          <w:p w14:paraId="32480576" w14:textId="77777777" w:rsidR="006E5D96" w:rsidRPr="00036DCD" w:rsidRDefault="006E5D96" w:rsidP="006F7204">
            <w:pPr>
              <w:pStyle w:val="Tabletext"/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0064B40" w14:textId="77777777" w:rsidR="006E5D96" w:rsidRPr="00036DCD" w:rsidRDefault="006E5D96" w:rsidP="006F7204">
            <w:pPr>
              <w:pStyle w:val="Tabletext"/>
              <w:rPr>
                <w:color w:val="00000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6E5D96" w:rsidRPr="00036DCD" w14:paraId="4D790053" w14:textId="77777777" w:rsidTr="006F7204">
        <w:trPr>
          <w:trHeight w:val="5806"/>
        </w:trPr>
        <w:tc>
          <w:tcPr>
            <w:tcW w:w="5098" w:type="dxa"/>
          </w:tcPr>
          <w:p w14:paraId="6F00C816" w14:textId="77777777" w:rsidR="006E5D96" w:rsidRPr="00036DCD" w:rsidRDefault="006E5D96" w:rsidP="006F7204">
            <w:pPr>
              <w:pStyle w:val="Tabletext"/>
              <w:keepNext/>
              <w:keepLines/>
              <w:spacing w:before="80"/>
              <w:ind w:left="284" w:hanging="284"/>
            </w:pPr>
            <w:r w:rsidRPr="00EA7B77">
              <w:rPr>
                <w:b/>
                <w:bCs/>
              </w:rPr>
              <w:lastRenderedPageBreak/>
              <w:t>4.</w:t>
            </w:r>
            <w:r w:rsidRPr="00EA7B77">
              <w:rPr>
                <w:b/>
                <w:bCs/>
              </w:rPr>
              <w:tab/>
            </w:r>
            <w:r w:rsidRPr="00036DCD">
              <w:t xml:space="preserve">Which </w:t>
            </w:r>
            <w:proofErr w:type="spellStart"/>
            <w:r w:rsidRPr="00036DCD">
              <w:t>IMT</w:t>
            </w:r>
            <w:proofErr w:type="spellEnd"/>
            <w:r w:rsidRPr="00036DCD">
              <w:t xml:space="preserve"> applications/systems and use cases in the mobile (except aeronautical mobile) service</w:t>
            </w:r>
            <w:r w:rsidRPr="00036DCD" w:rsidDel="00755A22">
              <w:t xml:space="preserve"> </w:t>
            </w:r>
            <w:r w:rsidRPr="00036DCD">
              <w:t>does your administration expect to require additional spectrum in the band 470-694 MHz?</w:t>
            </w:r>
          </w:p>
        </w:tc>
        <w:tc>
          <w:tcPr>
            <w:tcW w:w="4508" w:type="dxa"/>
          </w:tcPr>
          <w:p w14:paraId="0C08ED01" w14:textId="77777777" w:rsidR="006E5D96" w:rsidRPr="00036DCD" w:rsidRDefault="006E5D96" w:rsidP="006F7204">
            <w:pPr>
              <w:pStyle w:val="Tabletext"/>
              <w:spacing w:after="80"/>
              <w:rPr>
                <w:lang w:val="en-US"/>
              </w:rPr>
            </w:pPr>
            <w:r w:rsidRPr="00036DCD">
              <w:t xml:space="preserve"> </w:t>
            </w:r>
            <w:r>
              <w:t xml:space="preserve">Mostly </w:t>
            </w:r>
            <w:proofErr w:type="spellStart"/>
            <w:r>
              <w:t>5G</w:t>
            </w:r>
            <w:proofErr w:type="spellEnd"/>
            <w:r>
              <w:t xml:space="preserve"> connectivity </w:t>
            </w:r>
          </w:p>
        </w:tc>
      </w:tr>
    </w:tbl>
    <w:p w14:paraId="360E5C80" w14:textId="77777777" w:rsidR="006E5D96" w:rsidRDefault="006E5D96" w:rsidP="006E5D96">
      <w:pPr>
        <w:pStyle w:val="Tablefin"/>
        <w:rPr>
          <w:lang w:val="en-US"/>
        </w:rPr>
      </w:pPr>
    </w:p>
    <w:p w14:paraId="5FFF6700" w14:textId="77777777" w:rsidR="006E5D96" w:rsidRDefault="006E5D96" w:rsidP="006E5D96">
      <w:pPr>
        <w:pStyle w:val="Tablefin"/>
        <w:rPr>
          <w:lang w:val="en-US"/>
        </w:rPr>
      </w:pPr>
    </w:p>
    <w:p w14:paraId="2DB904AF" w14:textId="253F2077" w:rsidR="000069D4" w:rsidRPr="006E5D96" w:rsidRDefault="006E5D96" w:rsidP="006E5D9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>
        <w:rPr>
          <w:lang w:val="en-US" w:eastAsia="zh-CN"/>
        </w:rPr>
        <w:t>_______________</w:t>
      </w:r>
    </w:p>
    <w:sectPr w:rsidR="000069D4" w:rsidRPr="006E5D96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E7AB0" w14:textId="77777777" w:rsidR="001C5D10" w:rsidRDefault="001C5D10">
      <w:r>
        <w:separator/>
      </w:r>
    </w:p>
  </w:endnote>
  <w:endnote w:type="continuationSeparator" w:id="0">
    <w:p w14:paraId="6A923156" w14:textId="77777777" w:rsidR="001C5D10" w:rsidRDefault="001C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60F3" w14:textId="64D3996E" w:rsidR="00FA124A" w:rsidRPr="002F7CB3" w:rsidRDefault="009C185B">
    <w:pPr>
      <w:pStyle w:val="Footer"/>
      <w:rPr>
        <w:lang w:val="en-US"/>
      </w:rPr>
    </w:pPr>
    <w:fldSimple w:instr=" FILENAME \p \* MERGEFORMAT ">
      <w:r w:rsidR="006E5D96" w:rsidRPr="006E5D96">
        <w:rPr>
          <w:lang w:val="en-US"/>
        </w:rPr>
        <w:t>M</w:t>
      </w:r>
      <w:r w:rsidR="006E5D96">
        <w:t>:\BRSGD\TEXT2019\SG05\WP5D\400\478e.docx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C5D10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1C5D1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EB4C" w14:textId="62D75963" w:rsidR="00FA124A" w:rsidRPr="002F7CB3" w:rsidRDefault="009C185B" w:rsidP="00E6257C">
    <w:pPr>
      <w:pStyle w:val="Footer"/>
      <w:rPr>
        <w:lang w:val="en-US"/>
      </w:rPr>
    </w:pPr>
    <w:fldSimple w:instr=" FILENAME \p \* MERGEFORMAT ">
      <w:r w:rsidR="006E5D96" w:rsidRPr="006E5D96">
        <w:rPr>
          <w:lang w:val="en-US"/>
        </w:rPr>
        <w:t>M</w:t>
      </w:r>
      <w:r w:rsidR="006E5D96">
        <w:t>:\BRSGD\TEXT2019\SG05\WP5D\400\478e.docx</w:t>
      </w:r>
    </w:fldSimple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C5D10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1C5D1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3E2A" w14:textId="77777777" w:rsidR="001C5D10" w:rsidRDefault="001C5D10">
      <w:r>
        <w:t>____________________</w:t>
      </w:r>
    </w:p>
  </w:footnote>
  <w:footnote w:type="continuationSeparator" w:id="0">
    <w:p w14:paraId="246AF004" w14:textId="77777777" w:rsidR="001C5D10" w:rsidRDefault="001C5D10">
      <w:r>
        <w:continuationSeparator/>
      </w:r>
    </w:p>
  </w:footnote>
  <w:footnote w:id="1">
    <w:p w14:paraId="75B3B534" w14:textId="77777777" w:rsidR="006E5D96" w:rsidRPr="00154071" w:rsidRDefault="006E5D96" w:rsidP="006E5D96">
      <w:pPr>
        <w:pStyle w:val="FootnoteText"/>
        <w:rPr>
          <w:szCs w:val="24"/>
          <w:lang w:val="en-US"/>
        </w:rPr>
      </w:pPr>
      <w:r w:rsidRPr="00154071">
        <w:rPr>
          <w:rStyle w:val="FootnoteReference"/>
          <w:szCs w:val="18"/>
        </w:rPr>
        <w:footnoteRef/>
      </w:r>
      <w:r w:rsidRPr="00154071">
        <w:rPr>
          <w:szCs w:val="24"/>
          <w:lang w:val="en-US"/>
        </w:rPr>
        <w:tab/>
        <w:t xml:space="preserve">See Recommendation ITU-R </w:t>
      </w:r>
      <w:proofErr w:type="spellStart"/>
      <w:r w:rsidRPr="00154071">
        <w:rPr>
          <w:szCs w:val="24"/>
          <w:lang w:val="en-US"/>
        </w:rPr>
        <w:t>M.1036</w:t>
      </w:r>
      <w:proofErr w:type="spellEnd"/>
      <w:r w:rsidRPr="00154071">
        <w:rPr>
          <w:szCs w:val="24"/>
          <w:lang w:val="en-US"/>
        </w:rPr>
        <w:t xml:space="preserve">-6 “Frequency arrangements for implementation of the terrestrial component of International Mobile Telecommunications in the bands identified for </w:t>
      </w:r>
      <w:proofErr w:type="spellStart"/>
      <w:r w:rsidRPr="00154071">
        <w:rPr>
          <w:szCs w:val="24"/>
          <w:lang w:val="en-US"/>
        </w:rPr>
        <w:t>IMT</w:t>
      </w:r>
      <w:proofErr w:type="spellEnd"/>
      <w:r>
        <w:rPr>
          <w:szCs w:val="24"/>
          <w:lang w:val="en-US"/>
        </w:rPr>
        <w:t> </w:t>
      </w:r>
      <w:r w:rsidRPr="00154071">
        <w:rPr>
          <w:szCs w:val="24"/>
          <w:lang w:val="en-US"/>
        </w:rPr>
        <w:t>in the Radio Regulations”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939C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B8AAB8D" w14:textId="77777777" w:rsidR="00FA124A" w:rsidRDefault="001C5D10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/478-E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64"/>
    <w:multiLevelType w:val="hybridMultilevel"/>
    <w:tmpl w:val="6F0E08C8"/>
    <w:lvl w:ilvl="0" w:tplc="594AE2C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1689"/>
    <w:multiLevelType w:val="multilevel"/>
    <w:tmpl w:val="3A1C961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bullet"/>
      <w:pStyle w:val="ListBullet3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4">
      <w:start w:val="1"/>
      <w:numFmt w:val="bullet"/>
      <w:pStyle w:val="ListBullet5"/>
      <w:lvlText w:val="-"/>
      <w:lvlJc w:val="left"/>
      <w:pPr>
        <w:ind w:left="1800" w:hanging="360"/>
      </w:pPr>
      <w:rPr>
        <w:rFonts w:ascii="Arial" w:hAnsi="Arial" w:cs="Arial" w:hint="default"/>
      </w:rPr>
    </w:lvl>
    <w:lvl w:ilvl="5">
      <w:start w:val="1"/>
      <w:numFmt w:val="bullet"/>
      <w:pStyle w:val="ListBullet6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6">
      <w:start w:val="1"/>
      <w:numFmt w:val="bullet"/>
      <w:pStyle w:val="ListBullet7"/>
      <w:lvlText w:val="-"/>
      <w:lvlJc w:val="left"/>
      <w:pPr>
        <w:ind w:left="2520" w:hanging="360"/>
      </w:pPr>
      <w:rPr>
        <w:rFonts w:ascii="Arial" w:hAnsi="Arial" w:cs="Arial" w:hint="default"/>
      </w:rPr>
    </w:lvl>
    <w:lvl w:ilvl="7">
      <w:start w:val="1"/>
      <w:numFmt w:val="bullet"/>
      <w:pStyle w:val="ListBullet8"/>
      <w:lvlText w:val="-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bullet"/>
      <w:pStyle w:val="ListBullet9"/>
      <w:lvlText w:val="-"/>
      <w:lvlJc w:val="left"/>
      <w:pPr>
        <w:ind w:left="324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D10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C5D10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E5D96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BD5A4"/>
  <w15:docId w15:val="{021D9ED5-D3DB-4C4A-A50A-3BA66B70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59"/>
    <w:qFormat/>
    <w:rsid w:val="006E5D96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ECC Hyperlink"/>
    <w:basedOn w:val="DefaultParagraphFont"/>
    <w:unhideWhenUsed/>
    <w:rsid w:val="006E5D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D9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6E5D9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ListBullet">
    <w:name w:val="List Bullet"/>
    <w:aliases w:val="IPA Bullet,UL,UL + Arial,9 pt,Italic,Lista con viñetas"/>
    <w:rsid w:val="006E5D96"/>
    <w:pPr>
      <w:numPr>
        <w:numId w:val="2"/>
      </w:numPr>
      <w:spacing w:after="120" w:line="259" w:lineRule="auto"/>
    </w:pPr>
    <w:rPr>
      <w:rFonts w:ascii="Calibri" w:eastAsiaTheme="minorEastAsia" w:hAnsi="Calibri" w:cstheme="minorBidi"/>
      <w:sz w:val="24"/>
      <w:szCs w:val="22"/>
      <w:lang w:eastAsia="ja-JP"/>
    </w:rPr>
  </w:style>
  <w:style w:type="paragraph" w:styleId="ListBullet2">
    <w:name w:val="List Bullet 2"/>
    <w:aliases w:val="Lista con viñetas 2"/>
    <w:basedOn w:val="ListBullet"/>
    <w:rsid w:val="006E5D96"/>
    <w:pPr>
      <w:numPr>
        <w:ilvl w:val="1"/>
      </w:numPr>
    </w:pPr>
  </w:style>
  <w:style w:type="paragraph" w:styleId="ListBullet3">
    <w:name w:val="List Bullet 3"/>
    <w:aliases w:val="Lista con viñetas 3"/>
    <w:basedOn w:val="ListBullet2"/>
    <w:rsid w:val="006E5D96"/>
    <w:pPr>
      <w:numPr>
        <w:ilvl w:val="2"/>
      </w:numPr>
    </w:pPr>
  </w:style>
  <w:style w:type="paragraph" w:styleId="ListBullet4">
    <w:name w:val="List Bullet 4"/>
    <w:basedOn w:val="ListBullet3"/>
    <w:unhideWhenUsed/>
    <w:rsid w:val="006E5D96"/>
    <w:pPr>
      <w:numPr>
        <w:ilvl w:val="3"/>
      </w:numPr>
    </w:pPr>
  </w:style>
  <w:style w:type="paragraph" w:styleId="ListBullet5">
    <w:name w:val="List Bullet 5"/>
    <w:basedOn w:val="ListBullet4"/>
    <w:uiPriority w:val="19"/>
    <w:semiHidden/>
    <w:unhideWhenUsed/>
    <w:rsid w:val="006E5D96"/>
    <w:pPr>
      <w:numPr>
        <w:ilvl w:val="4"/>
      </w:numPr>
    </w:pPr>
  </w:style>
  <w:style w:type="paragraph" w:customStyle="1" w:styleId="ListBullet6">
    <w:name w:val="List Bullet 6"/>
    <w:basedOn w:val="ListBullet5"/>
    <w:uiPriority w:val="19"/>
    <w:semiHidden/>
    <w:unhideWhenUsed/>
    <w:rsid w:val="006E5D96"/>
    <w:pPr>
      <w:numPr>
        <w:ilvl w:val="5"/>
      </w:numPr>
    </w:pPr>
  </w:style>
  <w:style w:type="paragraph" w:customStyle="1" w:styleId="ListBullet7">
    <w:name w:val="List Bullet 7"/>
    <w:basedOn w:val="ListBullet6"/>
    <w:uiPriority w:val="19"/>
    <w:semiHidden/>
    <w:unhideWhenUsed/>
    <w:rsid w:val="006E5D96"/>
    <w:pPr>
      <w:numPr>
        <w:ilvl w:val="6"/>
      </w:numPr>
    </w:pPr>
  </w:style>
  <w:style w:type="paragraph" w:customStyle="1" w:styleId="ListBullet8">
    <w:name w:val="List Bullet 8"/>
    <w:basedOn w:val="ListBullet7"/>
    <w:uiPriority w:val="19"/>
    <w:semiHidden/>
    <w:unhideWhenUsed/>
    <w:rsid w:val="006E5D96"/>
    <w:pPr>
      <w:numPr>
        <w:ilvl w:val="7"/>
      </w:numPr>
    </w:pPr>
  </w:style>
  <w:style w:type="paragraph" w:customStyle="1" w:styleId="ListBullet9">
    <w:name w:val="List Bullet 9"/>
    <w:basedOn w:val="ListBullet8"/>
    <w:uiPriority w:val="19"/>
    <w:semiHidden/>
    <w:unhideWhenUsed/>
    <w:rsid w:val="006E5D96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00-CACE-CIR-09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4</Pages>
  <Words>559</Words>
  <Characters>3320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2</cp:revision>
  <cp:lastPrinted>2008-02-21T14:04:00Z</cp:lastPrinted>
  <dcterms:created xsi:type="dcterms:W3CDTF">2021-02-22T11:52:00Z</dcterms:created>
  <dcterms:modified xsi:type="dcterms:W3CDTF">2021-02-22T11:57:00Z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