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2E3969" w14:paraId="13231012" w14:textId="77777777" w:rsidTr="00876A8A">
        <w:trPr>
          <w:cantSplit/>
        </w:trPr>
        <w:tc>
          <w:tcPr>
            <w:tcW w:w="6487" w:type="dxa"/>
            <w:vAlign w:val="center"/>
          </w:tcPr>
          <w:p w14:paraId="2E784664" w14:textId="77777777" w:rsidR="009F6520" w:rsidRPr="002E3969" w:rsidRDefault="009F6520" w:rsidP="009F6520">
            <w:pPr>
              <w:shd w:val="solid" w:color="FFFFFF" w:fill="FFFFFF"/>
              <w:spacing w:before="0"/>
              <w:rPr>
                <w:rFonts w:ascii="Verdana" w:hAnsi="Verdana" w:cs="Times New Roman Bold"/>
                <w:b/>
                <w:bCs/>
                <w:sz w:val="26"/>
                <w:szCs w:val="26"/>
              </w:rPr>
            </w:pPr>
            <w:r w:rsidRPr="002E3969">
              <w:rPr>
                <w:rFonts w:ascii="Verdana" w:hAnsi="Verdana" w:cs="Times New Roman Bold"/>
                <w:b/>
                <w:bCs/>
                <w:sz w:val="26"/>
                <w:szCs w:val="26"/>
              </w:rPr>
              <w:t>Radiocommunication Study Groups</w:t>
            </w:r>
          </w:p>
        </w:tc>
        <w:tc>
          <w:tcPr>
            <w:tcW w:w="3402" w:type="dxa"/>
          </w:tcPr>
          <w:p w14:paraId="57312346" w14:textId="77777777" w:rsidR="009F6520" w:rsidRPr="002E3969" w:rsidRDefault="00136AB7" w:rsidP="00136AB7">
            <w:pPr>
              <w:shd w:val="solid" w:color="FFFFFF" w:fill="FFFFFF"/>
              <w:spacing w:before="0" w:line="240" w:lineRule="atLeast"/>
            </w:pPr>
            <w:bookmarkStart w:id="0" w:name="ditulogo"/>
            <w:bookmarkEnd w:id="0"/>
            <w:r w:rsidRPr="002E3969">
              <w:rPr>
                <w:lang w:eastAsia="en-GB"/>
              </w:rPr>
              <w:drawing>
                <wp:inline distT="0" distB="0" distL="0" distR="0" wp14:anchorId="2EDCB8EB" wp14:editId="64AEE5D6">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2E3969" w14:paraId="6708EFD0" w14:textId="77777777" w:rsidTr="00876A8A">
        <w:trPr>
          <w:cantSplit/>
        </w:trPr>
        <w:tc>
          <w:tcPr>
            <w:tcW w:w="6487" w:type="dxa"/>
            <w:tcBorders>
              <w:bottom w:val="single" w:sz="12" w:space="0" w:color="auto"/>
            </w:tcBorders>
          </w:tcPr>
          <w:p w14:paraId="432C3BA2" w14:textId="77777777" w:rsidR="000069D4" w:rsidRPr="002E3969"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2F89F6E" w14:textId="77777777" w:rsidR="000069D4" w:rsidRPr="002E3969" w:rsidRDefault="000069D4" w:rsidP="00A5173C">
            <w:pPr>
              <w:shd w:val="solid" w:color="FFFFFF" w:fill="FFFFFF"/>
              <w:spacing w:before="0" w:after="48" w:line="240" w:lineRule="atLeast"/>
              <w:rPr>
                <w:sz w:val="22"/>
                <w:szCs w:val="22"/>
              </w:rPr>
            </w:pPr>
          </w:p>
        </w:tc>
      </w:tr>
      <w:tr w:rsidR="000069D4" w:rsidRPr="002E3969" w14:paraId="75A280B0" w14:textId="77777777" w:rsidTr="00876A8A">
        <w:trPr>
          <w:cantSplit/>
        </w:trPr>
        <w:tc>
          <w:tcPr>
            <w:tcW w:w="6487" w:type="dxa"/>
            <w:tcBorders>
              <w:top w:val="single" w:sz="12" w:space="0" w:color="auto"/>
            </w:tcBorders>
          </w:tcPr>
          <w:p w14:paraId="5CE4E8E2" w14:textId="77777777" w:rsidR="000069D4" w:rsidRPr="002E3969"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4C71CA3" w14:textId="77777777" w:rsidR="000069D4" w:rsidRPr="002E3969" w:rsidRDefault="000069D4" w:rsidP="00A5173C">
            <w:pPr>
              <w:shd w:val="solid" w:color="FFFFFF" w:fill="FFFFFF"/>
              <w:spacing w:before="0" w:after="48" w:line="240" w:lineRule="atLeast"/>
            </w:pPr>
          </w:p>
        </w:tc>
      </w:tr>
      <w:tr w:rsidR="000069D4" w:rsidRPr="002E3969" w14:paraId="755ADC27" w14:textId="77777777" w:rsidTr="00876A8A">
        <w:trPr>
          <w:cantSplit/>
        </w:trPr>
        <w:tc>
          <w:tcPr>
            <w:tcW w:w="6487" w:type="dxa"/>
            <w:vMerge w:val="restart"/>
          </w:tcPr>
          <w:p w14:paraId="31F6445F" w14:textId="77777777" w:rsidR="00136AB7" w:rsidRPr="00136AB7" w:rsidRDefault="00136AB7" w:rsidP="00136AB7">
            <w:pPr>
              <w:shd w:val="solid" w:color="FFFFFF" w:fill="FFFFFF"/>
              <w:tabs>
                <w:tab w:val="clear" w:pos="1134"/>
                <w:tab w:val="clear" w:pos="1871"/>
                <w:tab w:val="clear" w:pos="2268"/>
              </w:tabs>
              <w:overflowPunct/>
              <w:autoSpaceDE/>
              <w:autoSpaceDN/>
              <w:adjustRightInd/>
              <w:spacing w:before="0" w:after="240"/>
              <w:ind w:left="1134" w:hanging="1134"/>
              <w:jc w:val="both"/>
              <w:textAlignment w:val="auto"/>
              <w:rPr>
                <w:rFonts w:ascii="Verdana" w:eastAsia="Calibri" w:hAnsi="Verdana"/>
                <w:sz w:val="20"/>
                <w:szCs w:val="22"/>
              </w:rPr>
            </w:pPr>
            <w:bookmarkStart w:id="1" w:name="dnum" w:colFirst="1" w:colLast="1"/>
            <w:bookmarkStart w:id="2" w:name="recibido"/>
            <w:bookmarkEnd w:id="2"/>
            <w:r w:rsidRPr="00136AB7">
              <w:rPr>
                <w:rFonts w:ascii="Verdana" w:eastAsia="Calibri" w:hAnsi="Verdana"/>
                <w:sz w:val="20"/>
                <w:szCs w:val="22"/>
              </w:rPr>
              <w:t>Received:</w:t>
            </w:r>
            <w:r w:rsidRPr="00136AB7">
              <w:rPr>
                <w:rFonts w:ascii="Verdana" w:eastAsia="Calibri" w:hAnsi="Verdana"/>
                <w:sz w:val="20"/>
                <w:szCs w:val="22"/>
              </w:rPr>
              <w:tab/>
              <w:t xml:space="preserve"> 29 August 2022</w:t>
            </w:r>
          </w:p>
          <w:p w14:paraId="24D380F8" w14:textId="4FA9C46E" w:rsidR="00136AB7" w:rsidRPr="002E3969" w:rsidRDefault="00136AB7" w:rsidP="00136AB7">
            <w:pPr>
              <w:shd w:val="solid" w:color="FFFFFF" w:fill="FFFFFF"/>
              <w:tabs>
                <w:tab w:val="clear" w:pos="1134"/>
                <w:tab w:val="clear" w:pos="1871"/>
                <w:tab w:val="clear" w:pos="2268"/>
              </w:tabs>
              <w:spacing w:before="0" w:after="240"/>
              <w:ind w:left="1134" w:hanging="1134"/>
              <w:rPr>
                <w:rFonts w:ascii="Verdana" w:hAnsi="Verdana"/>
                <w:sz w:val="20"/>
              </w:rPr>
            </w:pPr>
            <w:r w:rsidRPr="002E3969">
              <w:rPr>
                <w:rFonts w:ascii="Verdana" w:eastAsia="Calibri" w:hAnsi="Verdana"/>
                <w:sz w:val="20"/>
                <w:szCs w:val="22"/>
              </w:rPr>
              <w:t>Subject:</w:t>
            </w:r>
            <w:r w:rsidRPr="002E3969">
              <w:rPr>
                <w:rFonts w:ascii="Verdana" w:eastAsia="Calibri" w:hAnsi="Verdana"/>
                <w:sz w:val="20"/>
                <w:szCs w:val="22"/>
              </w:rPr>
              <w:tab/>
              <w:t>Sharing studies for WRC-23 agenda item 1.5</w:t>
            </w:r>
          </w:p>
        </w:tc>
        <w:tc>
          <w:tcPr>
            <w:tcW w:w="3402" w:type="dxa"/>
          </w:tcPr>
          <w:p w14:paraId="61076FDA" w14:textId="77777777" w:rsidR="000069D4" w:rsidRPr="002E3969" w:rsidRDefault="00136AB7" w:rsidP="00A5173C">
            <w:pPr>
              <w:shd w:val="solid" w:color="FFFFFF" w:fill="FFFFFF"/>
              <w:spacing w:before="0" w:line="240" w:lineRule="atLeast"/>
              <w:rPr>
                <w:rFonts w:ascii="Verdana" w:hAnsi="Verdana"/>
                <w:sz w:val="20"/>
                <w:lang w:eastAsia="zh-CN"/>
              </w:rPr>
            </w:pPr>
            <w:r w:rsidRPr="002E3969">
              <w:rPr>
                <w:rFonts w:ascii="Verdana" w:hAnsi="Verdana"/>
                <w:b/>
                <w:sz w:val="20"/>
                <w:lang w:eastAsia="zh-CN"/>
              </w:rPr>
              <w:t>Document 6-1/123-E</w:t>
            </w:r>
          </w:p>
        </w:tc>
      </w:tr>
      <w:tr w:rsidR="000069D4" w:rsidRPr="002E3969" w14:paraId="4A8D96CC" w14:textId="77777777" w:rsidTr="00876A8A">
        <w:trPr>
          <w:cantSplit/>
        </w:trPr>
        <w:tc>
          <w:tcPr>
            <w:tcW w:w="6487" w:type="dxa"/>
            <w:vMerge/>
          </w:tcPr>
          <w:p w14:paraId="39BCBBD4" w14:textId="77777777" w:rsidR="000069D4" w:rsidRPr="002E3969" w:rsidRDefault="000069D4" w:rsidP="00A5173C">
            <w:pPr>
              <w:spacing w:before="60"/>
              <w:jc w:val="center"/>
              <w:rPr>
                <w:b/>
                <w:smallCaps/>
                <w:sz w:val="32"/>
                <w:lang w:eastAsia="zh-CN"/>
              </w:rPr>
            </w:pPr>
            <w:bookmarkStart w:id="3" w:name="ddate" w:colFirst="1" w:colLast="1"/>
            <w:bookmarkEnd w:id="1"/>
          </w:p>
        </w:tc>
        <w:tc>
          <w:tcPr>
            <w:tcW w:w="3402" w:type="dxa"/>
          </w:tcPr>
          <w:p w14:paraId="187E9101" w14:textId="77777777" w:rsidR="000069D4" w:rsidRPr="002E3969" w:rsidRDefault="00136AB7" w:rsidP="00A5173C">
            <w:pPr>
              <w:shd w:val="solid" w:color="FFFFFF" w:fill="FFFFFF"/>
              <w:spacing w:before="0" w:line="240" w:lineRule="atLeast"/>
              <w:rPr>
                <w:rFonts w:ascii="Verdana" w:hAnsi="Verdana"/>
                <w:sz w:val="20"/>
                <w:lang w:eastAsia="zh-CN"/>
              </w:rPr>
            </w:pPr>
            <w:r w:rsidRPr="002E3969">
              <w:rPr>
                <w:rFonts w:ascii="Verdana" w:hAnsi="Verdana"/>
                <w:b/>
                <w:sz w:val="20"/>
                <w:lang w:eastAsia="zh-CN"/>
              </w:rPr>
              <w:t>30 August 2022</w:t>
            </w:r>
          </w:p>
        </w:tc>
      </w:tr>
      <w:tr w:rsidR="000069D4" w:rsidRPr="002E3969" w14:paraId="51FC90FD" w14:textId="77777777" w:rsidTr="00876A8A">
        <w:trPr>
          <w:cantSplit/>
        </w:trPr>
        <w:tc>
          <w:tcPr>
            <w:tcW w:w="6487" w:type="dxa"/>
            <w:vMerge/>
          </w:tcPr>
          <w:p w14:paraId="34DEFC3B" w14:textId="77777777" w:rsidR="000069D4" w:rsidRPr="002E3969" w:rsidRDefault="000069D4" w:rsidP="00A5173C">
            <w:pPr>
              <w:spacing w:before="60"/>
              <w:jc w:val="center"/>
              <w:rPr>
                <w:b/>
                <w:smallCaps/>
                <w:sz w:val="32"/>
                <w:lang w:eastAsia="zh-CN"/>
              </w:rPr>
            </w:pPr>
            <w:bookmarkStart w:id="4" w:name="dorlang" w:colFirst="1" w:colLast="1"/>
            <w:bookmarkEnd w:id="3"/>
          </w:p>
        </w:tc>
        <w:tc>
          <w:tcPr>
            <w:tcW w:w="3402" w:type="dxa"/>
          </w:tcPr>
          <w:p w14:paraId="697F4164" w14:textId="77777777" w:rsidR="000069D4" w:rsidRPr="002E3969" w:rsidRDefault="00136AB7" w:rsidP="00A5173C">
            <w:pPr>
              <w:shd w:val="solid" w:color="FFFFFF" w:fill="FFFFFF"/>
              <w:spacing w:before="0" w:line="240" w:lineRule="atLeast"/>
              <w:rPr>
                <w:rFonts w:ascii="Verdana" w:eastAsia="SimSun" w:hAnsi="Verdana"/>
                <w:sz w:val="20"/>
                <w:lang w:eastAsia="zh-CN"/>
              </w:rPr>
            </w:pPr>
            <w:r w:rsidRPr="002E3969">
              <w:rPr>
                <w:rFonts w:ascii="Verdana" w:eastAsia="SimSun" w:hAnsi="Verdana"/>
                <w:b/>
                <w:sz w:val="20"/>
                <w:lang w:eastAsia="zh-CN"/>
              </w:rPr>
              <w:t>English only</w:t>
            </w:r>
          </w:p>
        </w:tc>
      </w:tr>
      <w:tr w:rsidR="000069D4" w:rsidRPr="002E3969" w14:paraId="4B9F591E" w14:textId="77777777" w:rsidTr="00D046A7">
        <w:trPr>
          <w:cantSplit/>
        </w:trPr>
        <w:tc>
          <w:tcPr>
            <w:tcW w:w="9889" w:type="dxa"/>
            <w:gridSpan w:val="2"/>
          </w:tcPr>
          <w:p w14:paraId="615316D2" w14:textId="5D8B6B6D" w:rsidR="000069D4" w:rsidRPr="002E3969" w:rsidRDefault="00136AB7" w:rsidP="00136AB7">
            <w:pPr>
              <w:pStyle w:val="Source"/>
              <w:rPr>
                <w:lang w:eastAsia="zh-CN"/>
              </w:rPr>
            </w:pPr>
            <w:bookmarkStart w:id="5" w:name="dsource" w:colFirst="0" w:colLast="0"/>
            <w:bookmarkEnd w:id="4"/>
            <w:r w:rsidRPr="002E3969">
              <w:rPr>
                <w:lang w:eastAsia="zh-CN"/>
              </w:rPr>
              <w:t>Saudi Arabia (Kingdom of), Egypt (Arab Republic of), United Arab Emirates</w:t>
            </w:r>
          </w:p>
        </w:tc>
      </w:tr>
      <w:tr w:rsidR="000069D4" w:rsidRPr="002E3969" w14:paraId="72B376A9" w14:textId="77777777" w:rsidTr="00D046A7">
        <w:trPr>
          <w:cantSplit/>
        </w:trPr>
        <w:tc>
          <w:tcPr>
            <w:tcW w:w="9889" w:type="dxa"/>
            <w:gridSpan w:val="2"/>
          </w:tcPr>
          <w:p w14:paraId="3B2AC424" w14:textId="6E33983D" w:rsidR="000069D4" w:rsidRPr="002E3969" w:rsidRDefault="004446D1" w:rsidP="00A5173C">
            <w:pPr>
              <w:pStyle w:val="Title1"/>
              <w:rPr>
                <w:lang w:eastAsia="zh-CN"/>
              </w:rPr>
            </w:pPr>
            <w:bookmarkStart w:id="6" w:name="drec" w:colFirst="0" w:colLast="0"/>
            <w:bookmarkEnd w:id="5"/>
            <w:r w:rsidRPr="002E3969">
              <w:rPr>
                <w:lang w:eastAsia="zh-CN"/>
              </w:rPr>
              <w:t>Re-evaluation of sharing studies in TG</w:t>
            </w:r>
            <w:r w:rsidR="002E3969">
              <w:rPr>
                <w:lang w:eastAsia="zh-CN"/>
              </w:rPr>
              <w:t xml:space="preserve"> </w:t>
            </w:r>
            <w:r w:rsidRPr="002E3969">
              <w:rPr>
                <w:lang w:eastAsia="zh-CN"/>
              </w:rPr>
              <w:t xml:space="preserve">6/1 </w:t>
            </w:r>
            <w:r w:rsidR="002E3969">
              <w:rPr>
                <w:lang w:eastAsia="zh-CN"/>
              </w:rPr>
              <w:br/>
            </w:r>
            <w:r w:rsidRPr="002E3969">
              <w:rPr>
                <w:lang w:eastAsia="zh-CN"/>
              </w:rPr>
              <w:t>for WRC-23 agenda item 1.5</w:t>
            </w:r>
          </w:p>
        </w:tc>
      </w:tr>
      <w:tr w:rsidR="000069D4" w:rsidRPr="002E3969" w14:paraId="3EA6F4EB" w14:textId="77777777" w:rsidTr="00D046A7">
        <w:trPr>
          <w:cantSplit/>
        </w:trPr>
        <w:tc>
          <w:tcPr>
            <w:tcW w:w="9889" w:type="dxa"/>
            <w:gridSpan w:val="2"/>
          </w:tcPr>
          <w:p w14:paraId="69DC2C93" w14:textId="77777777" w:rsidR="000069D4" w:rsidRPr="002E3969" w:rsidRDefault="000069D4" w:rsidP="00A5173C">
            <w:pPr>
              <w:pStyle w:val="Title1"/>
              <w:rPr>
                <w:lang w:eastAsia="zh-CN"/>
              </w:rPr>
            </w:pPr>
            <w:bookmarkStart w:id="7" w:name="dtitle1" w:colFirst="0" w:colLast="0"/>
            <w:bookmarkEnd w:id="6"/>
          </w:p>
        </w:tc>
      </w:tr>
    </w:tbl>
    <w:bookmarkEnd w:id="7"/>
    <w:p w14:paraId="154A1992" w14:textId="77777777" w:rsidR="004446D1" w:rsidRPr="002E3969" w:rsidRDefault="004446D1" w:rsidP="002E3969">
      <w:pPr>
        <w:pStyle w:val="Headingb"/>
      </w:pPr>
      <w:r w:rsidRPr="002E3969">
        <w:t>Introduction</w:t>
      </w:r>
    </w:p>
    <w:p w14:paraId="56C3BCEC" w14:textId="77777777" w:rsidR="004446D1" w:rsidRPr="002E3969" w:rsidRDefault="004446D1" w:rsidP="004446D1">
      <w:r w:rsidRPr="002E3969">
        <w:t xml:space="preserve">Resolution </w:t>
      </w:r>
      <w:r w:rsidRPr="002E3969">
        <w:rPr>
          <w:b/>
          <w:bCs/>
        </w:rPr>
        <w:t>235 (WRC-15)</w:t>
      </w:r>
      <w:r w:rsidRPr="002E3969">
        <w:t xml:space="preserve"> calls for review of the spectrum use and needs within the frequency band 470-960 MHz in Region 1, and to take appropriate regulatory actions including potential allocation to Mobile Service and/or identification of IMT within the whole band, or parts thereof. It resolves to invite ITU-R, after the 2019 World Radiocommunication Conference and in time for the 2023 World Radiocommunication Conference:</w:t>
      </w:r>
    </w:p>
    <w:p w14:paraId="2E337D22" w14:textId="77777777" w:rsidR="004446D1" w:rsidRPr="002E3969" w:rsidRDefault="004446D1" w:rsidP="002E3969">
      <w:pPr>
        <w:pStyle w:val="enumlev1"/>
      </w:pPr>
      <w:r w:rsidRPr="002E3969">
        <w:tab/>
        <w:t xml:space="preserve">1 </w:t>
      </w:r>
      <w:r w:rsidRPr="002E3969">
        <w:tab/>
        <w:t>to review the spectrum use and study the spectrum needs of existing services within the frequency band 470-960 MHz in Region 1, in particular the spectrum requirements of the broadcasting and mobile, except aeronautical mobile, services, taking into account the relevant ITU Radiocommunication Sector (ITU-R) studies, Recommendations and Reports;</w:t>
      </w:r>
    </w:p>
    <w:p w14:paraId="08543B33" w14:textId="77777777" w:rsidR="004446D1" w:rsidRPr="002E3969" w:rsidRDefault="004446D1" w:rsidP="002E3969">
      <w:pPr>
        <w:pStyle w:val="enumlev1"/>
      </w:pPr>
      <w:r w:rsidRPr="002E3969">
        <w:tab/>
        <w:t xml:space="preserve">2 </w:t>
      </w:r>
      <w:r w:rsidRPr="002E3969">
        <w:tab/>
        <w:t>to carry out sharing and compatibility studies, as appropriate, in the frequency band 470-694 MHz in Region 1 between the broadcasting and mobile, except aeronautical mobile, services, taking into account relevant ITU-R studies, Recommendations and Reports.</w:t>
      </w:r>
    </w:p>
    <w:p w14:paraId="226FCFB2" w14:textId="77777777" w:rsidR="004446D1" w:rsidRPr="002E3969" w:rsidRDefault="004446D1" w:rsidP="004446D1">
      <w:pPr>
        <w:rPr>
          <w:rFonts w:eastAsia="SimSun"/>
        </w:rPr>
      </w:pPr>
      <w:r w:rsidRPr="002E3969">
        <w:rPr>
          <w:rFonts w:eastAsia="SimSun"/>
        </w:rPr>
        <w:t xml:space="preserve">Multiple administrations presented their serious concerns regarding the activities of the </w:t>
      </w:r>
      <w:r w:rsidRPr="002E3969">
        <w:t xml:space="preserve">informative Correspondence Group (CG) by TG 6/1 since the outcomes did </w:t>
      </w:r>
      <w:r w:rsidRPr="002E3969">
        <w:rPr>
          <w:rFonts w:eastAsia="SimSun"/>
        </w:rPr>
        <w:t>not take into consideration several documents and contributions, and simply noted them without taking appropriate action in their regard. Please refer to the other contributions on some of these concerns submitted to the last TG 6/1 meeting.</w:t>
      </w:r>
    </w:p>
    <w:p w14:paraId="367FB409" w14:textId="4C859618" w:rsidR="004446D1" w:rsidRPr="002E3969" w:rsidRDefault="004446D1" w:rsidP="002E3969">
      <w:pPr>
        <w:pStyle w:val="Headingb"/>
      </w:pPr>
      <w:r w:rsidRPr="002E3969">
        <w:t>Proposal</w:t>
      </w:r>
    </w:p>
    <w:p w14:paraId="5C2A84F9" w14:textId="31275585" w:rsidR="004446D1" w:rsidRPr="002E3969" w:rsidRDefault="004446D1" w:rsidP="004446D1">
      <w:pPr>
        <w:rPr>
          <w:szCs w:val="24"/>
          <w:lang w:eastAsia="zh-CN"/>
        </w:rPr>
      </w:pPr>
      <w:r w:rsidRPr="002E3969">
        <w:rPr>
          <w:szCs w:val="24"/>
          <w:lang w:eastAsia="zh-CN"/>
        </w:rPr>
        <w:t>This contribution was submitted to the CG, which provides the results of the re-evaluation of the sharing study in Section 3.1.2.3 of TG</w:t>
      </w:r>
      <w:r w:rsidR="002E3969" w:rsidRPr="002E3969">
        <w:rPr>
          <w:szCs w:val="24"/>
          <w:lang w:eastAsia="zh-CN"/>
        </w:rPr>
        <w:t xml:space="preserve"> </w:t>
      </w:r>
      <w:r w:rsidRPr="002E3969">
        <w:rPr>
          <w:szCs w:val="24"/>
          <w:lang w:eastAsia="zh-CN"/>
        </w:rPr>
        <w:t xml:space="preserve">6/1 Chairman’s Report, using the given parameters provided in study 3.1.2.3. The study uses a Monte Carlo analysis method and accounts for 9 UE’s per IMT sector and 21 sectors (single tier system) with antenna discrimination. The given results should be included in the report on sharing and compatibility studies, summary of studies and CPM text. </w:t>
      </w:r>
    </w:p>
    <w:p w14:paraId="3028C452" w14:textId="3BDC035E" w:rsidR="004446D1" w:rsidRPr="002E3969" w:rsidRDefault="004446D1" w:rsidP="002E3969">
      <w:pPr>
        <w:spacing w:before="840"/>
        <w:rPr>
          <w:lang w:eastAsia="zh-CN"/>
        </w:rPr>
      </w:pPr>
      <w:r w:rsidRPr="002E3969">
        <w:rPr>
          <w:b/>
          <w:bCs/>
          <w:szCs w:val="24"/>
          <w:lang w:eastAsia="zh-CN"/>
        </w:rPr>
        <w:t>Attachment</w:t>
      </w:r>
      <w:r w:rsidRPr="002E3969">
        <w:rPr>
          <w:szCs w:val="24"/>
          <w:lang w:eastAsia="zh-CN"/>
        </w:rPr>
        <w:t>:</w:t>
      </w:r>
      <w:r w:rsidRPr="002E3969">
        <w:rPr>
          <w:szCs w:val="24"/>
          <w:lang w:eastAsia="zh-CN"/>
        </w:rPr>
        <w:tab/>
        <w:t>1</w:t>
      </w:r>
      <w:r w:rsidRPr="002E3969">
        <w:rPr>
          <w:lang w:eastAsia="zh-CN"/>
        </w:rPr>
        <w:br w:type="page"/>
      </w:r>
    </w:p>
    <w:p w14:paraId="27003E14" w14:textId="77777777" w:rsidR="004446D1" w:rsidRPr="002E3969" w:rsidRDefault="004446D1" w:rsidP="004446D1">
      <w:pPr>
        <w:pStyle w:val="Title1"/>
      </w:pPr>
      <w:r w:rsidRPr="002E3969">
        <w:lastRenderedPageBreak/>
        <w:t>ATTACHMENT 1</w:t>
      </w:r>
    </w:p>
    <w:p w14:paraId="581F2A91" w14:textId="77777777" w:rsidR="004446D1" w:rsidRPr="002E3969" w:rsidRDefault="004446D1" w:rsidP="002E3969">
      <w:pPr>
        <w:pStyle w:val="Heading1"/>
        <w:rPr>
          <w:lang w:eastAsia="zh-CN"/>
        </w:rPr>
      </w:pPr>
      <w:bookmarkStart w:id="8" w:name="_Hlk112320032"/>
      <w:r w:rsidRPr="002E3969">
        <w:rPr>
          <w:lang w:eastAsia="zh-CN"/>
        </w:rPr>
        <w:t>1</w:t>
      </w:r>
      <w:r w:rsidRPr="002E3969">
        <w:rPr>
          <w:lang w:eastAsia="zh-CN"/>
        </w:rPr>
        <w:tab/>
        <w:t>Introduction</w:t>
      </w:r>
    </w:p>
    <w:p w14:paraId="3EB0E49A" w14:textId="259DDFB8" w:rsidR="004446D1" w:rsidRPr="002E3969" w:rsidRDefault="004446D1" w:rsidP="004446D1">
      <w:pPr>
        <w:keepNext/>
        <w:keepLines/>
        <w:spacing w:before="200"/>
        <w:outlineLvl w:val="3"/>
        <w:rPr>
          <w:lang w:eastAsia="zh-CN"/>
        </w:rPr>
      </w:pPr>
      <w:r w:rsidRPr="002E3969">
        <w:rPr>
          <w:bCs/>
          <w:lang w:eastAsia="zh-CN"/>
        </w:rPr>
        <w:t xml:space="preserve">This contribution provides a sharing and compatibility study between IMT user equipment and broadcasting receivers within the frequency band 470-694 MHz in Region 1. This study considered the parameters of Study 3.1.2.3 as submitted in the CG as revisions to the </w:t>
      </w:r>
      <w:r w:rsidRPr="002E3969">
        <w:rPr>
          <w:szCs w:val="24"/>
          <w:lang w:eastAsia="zh-CN"/>
        </w:rPr>
        <w:t>TG</w:t>
      </w:r>
      <w:r w:rsidR="002E3969" w:rsidRPr="002E3969">
        <w:rPr>
          <w:szCs w:val="24"/>
          <w:lang w:eastAsia="zh-CN"/>
        </w:rPr>
        <w:t xml:space="preserve"> </w:t>
      </w:r>
      <w:r w:rsidRPr="002E3969">
        <w:rPr>
          <w:szCs w:val="24"/>
          <w:lang w:eastAsia="zh-CN"/>
        </w:rPr>
        <w:t>6/1 Chairman’s Report.</w:t>
      </w:r>
      <w:r w:rsidRPr="002E3969">
        <w:rPr>
          <w:spacing w:val="-2"/>
          <w:lang w:eastAsia="zh-CN"/>
        </w:rPr>
        <w:fldChar w:fldCharType="begin"/>
      </w:r>
      <w:r w:rsidRPr="002E3969">
        <w:instrText xml:space="preserve"> XE "Sources" </w:instrText>
      </w:r>
      <w:r w:rsidRPr="002E3969">
        <w:rPr>
          <w:spacing w:val="-2"/>
          <w:lang w:eastAsia="zh-CN"/>
        </w:rPr>
        <w:fldChar w:fldCharType="end"/>
      </w:r>
      <w:r w:rsidRPr="002E3969">
        <w:rPr>
          <w:spacing w:val="-2"/>
          <w:lang w:eastAsia="zh-CN"/>
        </w:rPr>
        <w:t xml:space="preserve"> </w:t>
      </w:r>
      <w:r w:rsidRPr="002E3969">
        <w:rPr>
          <w:lang w:eastAsia="zh-CN"/>
        </w:rPr>
        <w:t>The study analyses the possibility of interference from IMT UEs to broadcasting receivers. This study calculates the necessary distance between an IMT UE and a roof top antenna to protect DTTB reception against IMT UE co-channel interference.</w:t>
      </w:r>
    </w:p>
    <w:p w14:paraId="233EBF50" w14:textId="77777777" w:rsidR="004446D1" w:rsidRPr="002E3969" w:rsidRDefault="004446D1" w:rsidP="002E3969">
      <w:pPr>
        <w:pStyle w:val="Heading1"/>
        <w:rPr>
          <w:lang w:eastAsia="zh-CN"/>
        </w:rPr>
      </w:pPr>
      <w:r w:rsidRPr="002E3969">
        <w:rPr>
          <w:lang w:eastAsia="zh-CN"/>
        </w:rPr>
        <w:t>2</w:t>
      </w:r>
      <w:r w:rsidRPr="002E3969">
        <w:rPr>
          <w:lang w:eastAsia="zh-CN"/>
        </w:rPr>
        <w:tab/>
        <w:t>Parameters and Deployment</w:t>
      </w:r>
    </w:p>
    <w:p w14:paraId="393E31F6" w14:textId="77777777" w:rsidR="004446D1" w:rsidRPr="002E3969" w:rsidRDefault="004446D1" w:rsidP="004446D1">
      <w:pPr>
        <w:keepNext/>
        <w:keepLines/>
        <w:spacing w:before="200"/>
        <w:outlineLvl w:val="3"/>
        <w:rPr>
          <w:lang w:eastAsia="zh-CN"/>
        </w:rPr>
      </w:pPr>
      <w:r w:rsidRPr="002E3969">
        <w:rPr>
          <w:lang w:eastAsia="zh-CN"/>
        </w:rPr>
        <w:t>The study is conducted using the recommended propagation model ITU-R P.1546-6. The deployment scenario is to protect DTTB fixed rooftop reception from IMT UE co-channel interference in an urban setting. Monte Carlo simulations were conducted to evaluate interference probability using the given parameters.</w:t>
      </w:r>
    </w:p>
    <w:p w14:paraId="220F724D" w14:textId="77777777" w:rsidR="004446D1" w:rsidRPr="002E3969" w:rsidRDefault="004446D1" w:rsidP="004446D1">
      <w:pPr>
        <w:keepNext/>
        <w:keepLines/>
        <w:spacing w:before="200"/>
        <w:outlineLvl w:val="3"/>
        <w:rPr>
          <w:lang w:eastAsia="zh-CN"/>
        </w:rPr>
      </w:pPr>
    </w:p>
    <w:tbl>
      <w:tblPr>
        <w:tblStyle w:val="TableGrid"/>
        <w:tblW w:w="0" w:type="auto"/>
        <w:jc w:val="center"/>
        <w:tblLook w:val="04A0" w:firstRow="1" w:lastRow="0" w:firstColumn="1" w:lastColumn="0" w:noHBand="0" w:noVBand="1"/>
      </w:tblPr>
      <w:tblGrid>
        <w:gridCol w:w="1644"/>
        <w:gridCol w:w="2244"/>
        <w:gridCol w:w="1572"/>
      </w:tblGrid>
      <w:tr w:rsidR="004446D1" w:rsidRPr="002E3969" w14:paraId="16277FC8" w14:textId="77777777" w:rsidTr="006A59F8">
        <w:trPr>
          <w:trHeight w:val="300"/>
          <w:jc w:val="center"/>
        </w:trPr>
        <w:tc>
          <w:tcPr>
            <w:tcW w:w="0" w:type="auto"/>
            <w:vAlign w:val="center"/>
          </w:tcPr>
          <w:p w14:paraId="45A0B5D6" w14:textId="77777777" w:rsidR="004446D1" w:rsidRPr="002E3969" w:rsidRDefault="004446D1" w:rsidP="002E3969">
            <w:pPr>
              <w:pStyle w:val="Tablehead"/>
            </w:pPr>
          </w:p>
        </w:tc>
        <w:tc>
          <w:tcPr>
            <w:tcW w:w="0" w:type="auto"/>
          </w:tcPr>
          <w:p w14:paraId="416C9F9E" w14:textId="77777777" w:rsidR="004446D1" w:rsidRPr="002E3969" w:rsidRDefault="004446D1" w:rsidP="002E3969">
            <w:pPr>
              <w:pStyle w:val="Tablehead"/>
              <w:rPr>
                <w:bCs/>
                <w:color w:val="000000"/>
              </w:rPr>
            </w:pPr>
            <w:r w:rsidRPr="002E3969">
              <w:rPr>
                <w:bCs/>
                <w:color w:val="000000"/>
              </w:rPr>
              <w:t>Parameter</w:t>
            </w:r>
          </w:p>
        </w:tc>
        <w:tc>
          <w:tcPr>
            <w:tcW w:w="0" w:type="auto"/>
          </w:tcPr>
          <w:p w14:paraId="7F34582C" w14:textId="77777777" w:rsidR="004446D1" w:rsidRPr="002E3969" w:rsidRDefault="004446D1" w:rsidP="002E3969">
            <w:pPr>
              <w:pStyle w:val="Tablehead"/>
              <w:rPr>
                <w:bCs/>
                <w:color w:val="000000"/>
              </w:rPr>
            </w:pPr>
            <w:r w:rsidRPr="002E3969">
              <w:rPr>
                <w:bCs/>
                <w:color w:val="000000"/>
              </w:rPr>
              <w:t>Value</w:t>
            </w:r>
          </w:p>
        </w:tc>
      </w:tr>
      <w:tr w:rsidR="004446D1" w:rsidRPr="002E3969" w14:paraId="140C1814" w14:textId="77777777" w:rsidTr="006A59F8">
        <w:trPr>
          <w:trHeight w:val="300"/>
          <w:jc w:val="center"/>
        </w:trPr>
        <w:tc>
          <w:tcPr>
            <w:tcW w:w="0" w:type="auto"/>
            <w:vMerge w:val="restart"/>
            <w:vAlign w:val="center"/>
            <w:hideMark/>
          </w:tcPr>
          <w:p w14:paraId="045DCF70" w14:textId="77777777" w:rsidR="004446D1" w:rsidRPr="002E3969" w:rsidRDefault="004446D1" w:rsidP="002E3969">
            <w:pPr>
              <w:pStyle w:val="Tabletext"/>
              <w:rPr>
                <w:b/>
                <w:bCs/>
              </w:rPr>
            </w:pPr>
            <w:r w:rsidRPr="002E3969">
              <w:rPr>
                <w:b/>
                <w:bCs/>
              </w:rPr>
              <w:t>IMT UE Tx</w:t>
            </w:r>
          </w:p>
        </w:tc>
        <w:tc>
          <w:tcPr>
            <w:tcW w:w="0" w:type="auto"/>
            <w:hideMark/>
          </w:tcPr>
          <w:p w14:paraId="1DEB9C82" w14:textId="77777777" w:rsidR="004446D1" w:rsidRPr="002E3969" w:rsidRDefault="004446D1" w:rsidP="002E3969">
            <w:pPr>
              <w:pStyle w:val="Tabletext"/>
              <w:rPr>
                <w:color w:val="000000"/>
              </w:rPr>
            </w:pPr>
            <w:r w:rsidRPr="002E3969">
              <w:rPr>
                <w:color w:val="000000"/>
              </w:rPr>
              <w:t>EIRP (dBm)</w:t>
            </w:r>
          </w:p>
        </w:tc>
        <w:tc>
          <w:tcPr>
            <w:tcW w:w="0" w:type="auto"/>
            <w:hideMark/>
          </w:tcPr>
          <w:p w14:paraId="72DFF021" w14:textId="77777777" w:rsidR="004446D1" w:rsidRPr="002E3969" w:rsidRDefault="004446D1" w:rsidP="002E3969">
            <w:pPr>
              <w:pStyle w:val="Tabletext"/>
              <w:rPr>
                <w:color w:val="000000"/>
              </w:rPr>
            </w:pPr>
            <w:r w:rsidRPr="002E3969">
              <w:rPr>
                <w:color w:val="000000"/>
              </w:rPr>
              <w:t>19</w:t>
            </w:r>
          </w:p>
        </w:tc>
      </w:tr>
      <w:tr w:rsidR="004446D1" w:rsidRPr="002E3969" w14:paraId="57CC5CE3" w14:textId="77777777" w:rsidTr="006A59F8">
        <w:trPr>
          <w:trHeight w:val="300"/>
          <w:jc w:val="center"/>
        </w:trPr>
        <w:tc>
          <w:tcPr>
            <w:tcW w:w="0" w:type="auto"/>
            <w:vMerge/>
            <w:vAlign w:val="center"/>
            <w:hideMark/>
          </w:tcPr>
          <w:p w14:paraId="2F0474EF" w14:textId="77777777" w:rsidR="004446D1" w:rsidRPr="002E3969" w:rsidRDefault="004446D1" w:rsidP="002E3969">
            <w:pPr>
              <w:pStyle w:val="Tabletext"/>
              <w:rPr>
                <w:b/>
                <w:bCs/>
              </w:rPr>
            </w:pPr>
          </w:p>
        </w:tc>
        <w:tc>
          <w:tcPr>
            <w:tcW w:w="0" w:type="auto"/>
            <w:hideMark/>
          </w:tcPr>
          <w:p w14:paraId="5906BB1B" w14:textId="77777777" w:rsidR="004446D1" w:rsidRPr="002E3969" w:rsidRDefault="004446D1" w:rsidP="002E3969">
            <w:pPr>
              <w:pStyle w:val="Tabletext"/>
              <w:rPr>
                <w:color w:val="000000"/>
              </w:rPr>
            </w:pPr>
            <w:r w:rsidRPr="002E3969">
              <w:rPr>
                <w:color w:val="000000"/>
              </w:rPr>
              <w:t>Height (m)</w:t>
            </w:r>
          </w:p>
        </w:tc>
        <w:tc>
          <w:tcPr>
            <w:tcW w:w="0" w:type="auto"/>
            <w:hideMark/>
          </w:tcPr>
          <w:p w14:paraId="7244E32E" w14:textId="77777777" w:rsidR="004446D1" w:rsidRPr="002E3969" w:rsidRDefault="004446D1" w:rsidP="002E3969">
            <w:pPr>
              <w:pStyle w:val="Tabletext"/>
              <w:rPr>
                <w:color w:val="000000"/>
              </w:rPr>
            </w:pPr>
            <w:r w:rsidRPr="002E3969">
              <w:rPr>
                <w:color w:val="000000"/>
              </w:rPr>
              <w:t>1.5</w:t>
            </w:r>
          </w:p>
        </w:tc>
      </w:tr>
      <w:tr w:rsidR="004446D1" w:rsidRPr="002E3969" w14:paraId="3F916E89" w14:textId="77777777" w:rsidTr="006A59F8">
        <w:trPr>
          <w:trHeight w:val="300"/>
          <w:jc w:val="center"/>
        </w:trPr>
        <w:tc>
          <w:tcPr>
            <w:tcW w:w="0" w:type="auto"/>
            <w:vMerge/>
            <w:vAlign w:val="center"/>
            <w:hideMark/>
          </w:tcPr>
          <w:p w14:paraId="56144FFF" w14:textId="77777777" w:rsidR="004446D1" w:rsidRPr="002E3969" w:rsidRDefault="004446D1" w:rsidP="002E3969">
            <w:pPr>
              <w:pStyle w:val="Tabletext"/>
              <w:rPr>
                <w:b/>
                <w:bCs/>
              </w:rPr>
            </w:pPr>
          </w:p>
        </w:tc>
        <w:tc>
          <w:tcPr>
            <w:tcW w:w="0" w:type="auto"/>
            <w:hideMark/>
          </w:tcPr>
          <w:p w14:paraId="644DDA2D" w14:textId="77777777" w:rsidR="004446D1" w:rsidRPr="002E3969" w:rsidRDefault="004446D1" w:rsidP="002E3969">
            <w:pPr>
              <w:pStyle w:val="Tabletext"/>
              <w:rPr>
                <w:color w:val="000000"/>
              </w:rPr>
            </w:pPr>
            <w:r w:rsidRPr="002E3969">
              <w:rPr>
                <w:color w:val="000000"/>
              </w:rPr>
              <w:t>Body Loss (dB)</w:t>
            </w:r>
          </w:p>
        </w:tc>
        <w:tc>
          <w:tcPr>
            <w:tcW w:w="0" w:type="auto"/>
            <w:hideMark/>
          </w:tcPr>
          <w:p w14:paraId="19B7E9CF" w14:textId="77777777" w:rsidR="004446D1" w:rsidRPr="002E3969" w:rsidRDefault="004446D1" w:rsidP="002E3969">
            <w:pPr>
              <w:pStyle w:val="Tabletext"/>
              <w:rPr>
                <w:color w:val="000000"/>
              </w:rPr>
            </w:pPr>
            <w:r w:rsidRPr="002E3969">
              <w:rPr>
                <w:color w:val="000000"/>
              </w:rPr>
              <w:t>4</w:t>
            </w:r>
          </w:p>
        </w:tc>
      </w:tr>
      <w:tr w:rsidR="004446D1" w:rsidRPr="002E3969" w14:paraId="1A2FADF6" w14:textId="77777777" w:rsidTr="006A59F8">
        <w:trPr>
          <w:trHeight w:val="300"/>
          <w:jc w:val="center"/>
        </w:trPr>
        <w:tc>
          <w:tcPr>
            <w:tcW w:w="0" w:type="auto"/>
            <w:vMerge/>
            <w:vAlign w:val="center"/>
            <w:hideMark/>
          </w:tcPr>
          <w:p w14:paraId="494A4A6C" w14:textId="77777777" w:rsidR="004446D1" w:rsidRPr="002E3969" w:rsidRDefault="004446D1" w:rsidP="002E3969">
            <w:pPr>
              <w:pStyle w:val="Tabletext"/>
              <w:rPr>
                <w:b/>
                <w:bCs/>
              </w:rPr>
            </w:pPr>
          </w:p>
        </w:tc>
        <w:tc>
          <w:tcPr>
            <w:tcW w:w="0" w:type="auto"/>
            <w:hideMark/>
          </w:tcPr>
          <w:p w14:paraId="4215E41B" w14:textId="77777777" w:rsidR="004446D1" w:rsidRPr="002E3969" w:rsidRDefault="004446D1" w:rsidP="002E3969">
            <w:pPr>
              <w:pStyle w:val="Tabletext"/>
              <w:rPr>
                <w:color w:val="000000"/>
              </w:rPr>
            </w:pPr>
            <w:r w:rsidRPr="002E3969">
              <w:rPr>
                <w:color w:val="000000"/>
              </w:rPr>
              <w:t>Indoor Percentage</w:t>
            </w:r>
          </w:p>
        </w:tc>
        <w:tc>
          <w:tcPr>
            <w:tcW w:w="0" w:type="auto"/>
            <w:hideMark/>
          </w:tcPr>
          <w:p w14:paraId="5CDCB59A" w14:textId="77777777" w:rsidR="004446D1" w:rsidRPr="002E3969" w:rsidRDefault="004446D1" w:rsidP="002E3969">
            <w:pPr>
              <w:pStyle w:val="Tabletext"/>
              <w:rPr>
                <w:color w:val="000000"/>
              </w:rPr>
            </w:pPr>
            <w:r w:rsidRPr="002E3969">
              <w:rPr>
                <w:color w:val="000000"/>
              </w:rPr>
              <w:t>70</w:t>
            </w:r>
          </w:p>
        </w:tc>
      </w:tr>
      <w:tr w:rsidR="004446D1" w:rsidRPr="002E3969" w14:paraId="7D4B9EBC" w14:textId="77777777" w:rsidTr="006A59F8">
        <w:trPr>
          <w:trHeight w:val="300"/>
          <w:jc w:val="center"/>
        </w:trPr>
        <w:tc>
          <w:tcPr>
            <w:tcW w:w="0" w:type="auto"/>
            <w:vMerge/>
            <w:vAlign w:val="center"/>
            <w:hideMark/>
          </w:tcPr>
          <w:p w14:paraId="3231881D" w14:textId="77777777" w:rsidR="004446D1" w:rsidRPr="002E3969" w:rsidRDefault="004446D1" w:rsidP="002E3969">
            <w:pPr>
              <w:pStyle w:val="Tabletext"/>
              <w:rPr>
                <w:b/>
                <w:bCs/>
              </w:rPr>
            </w:pPr>
          </w:p>
        </w:tc>
        <w:tc>
          <w:tcPr>
            <w:tcW w:w="0" w:type="auto"/>
            <w:hideMark/>
          </w:tcPr>
          <w:p w14:paraId="313FA0E5" w14:textId="77777777" w:rsidR="004446D1" w:rsidRPr="002E3969" w:rsidRDefault="004446D1" w:rsidP="002E3969">
            <w:pPr>
              <w:pStyle w:val="Tabletext"/>
              <w:rPr>
                <w:color w:val="000000"/>
              </w:rPr>
            </w:pPr>
            <w:r w:rsidRPr="002E3969">
              <w:rPr>
                <w:color w:val="000000"/>
              </w:rPr>
              <w:t>Typical Gain (dBi)</w:t>
            </w:r>
          </w:p>
        </w:tc>
        <w:tc>
          <w:tcPr>
            <w:tcW w:w="0" w:type="auto"/>
            <w:hideMark/>
          </w:tcPr>
          <w:p w14:paraId="710C3B4B" w14:textId="77777777" w:rsidR="004446D1" w:rsidRPr="002E3969" w:rsidRDefault="004446D1" w:rsidP="002E3969">
            <w:pPr>
              <w:pStyle w:val="Tabletext"/>
              <w:rPr>
                <w:color w:val="000000"/>
              </w:rPr>
            </w:pPr>
            <w:r w:rsidRPr="002E3969">
              <w:rPr>
                <w:color w:val="000000"/>
              </w:rPr>
              <w:t>-3</w:t>
            </w:r>
          </w:p>
        </w:tc>
      </w:tr>
      <w:tr w:rsidR="004446D1" w:rsidRPr="002E3969" w14:paraId="1EAAD2F4" w14:textId="77777777" w:rsidTr="006A59F8">
        <w:trPr>
          <w:trHeight w:val="300"/>
          <w:jc w:val="center"/>
        </w:trPr>
        <w:tc>
          <w:tcPr>
            <w:tcW w:w="0" w:type="auto"/>
            <w:vMerge/>
            <w:vAlign w:val="center"/>
          </w:tcPr>
          <w:p w14:paraId="5915811D" w14:textId="77777777" w:rsidR="004446D1" w:rsidRPr="002E3969" w:rsidRDefault="004446D1" w:rsidP="002E3969">
            <w:pPr>
              <w:pStyle w:val="Tabletext"/>
              <w:rPr>
                <w:b/>
                <w:bCs/>
              </w:rPr>
            </w:pPr>
          </w:p>
        </w:tc>
        <w:tc>
          <w:tcPr>
            <w:tcW w:w="0" w:type="auto"/>
          </w:tcPr>
          <w:p w14:paraId="29072841" w14:textId="77777777" w:rsidR="004446D1" w:rsidRPr="002E3969" w:rsidRDefault="004446D1" w:rsidP="002E3969">
            <w:pPr>
              <w:pStyle w:val="Tabletext"/>
              <w:rPr>
                <w:color w:val="000000"/>
              </w:rPr>
            </w:pPr>
            <w:r w:rsidRPr="002E3969">
              <w:rPr>
                <w:color w:val="000000"/>
              </w:rPr>
              <w:t>Percentage Time (%)</w:t>
            </w:r>
          </w:p>
        </w:tc>
        <w:tc>
          <w:tcPr>
            <w:tcW w:w="0" w:type="auto"/>
          </w:tcPr>
          <w:p w14:paraId="129FFC9D" w14:textId="77777777" w:rsidR="004446D1" w:rsidRPr="002E3969" w:rsidRDefault="004446D1" w:rsidP="002E3969">
            <w:pPr>
              <w:pStyle w:val="Tabletext"/>
              <w:rPr>
                <w:color w:val="000000"/>
              </w:rPr>
            </w:pPr>
            <w:r w:rsidRPr="002E3969">
              <w:rPr>
                <w:color w:val="000000"/>
              </w:rPr>
              <w:t>50</w:t>
            </w:r>
          </w:p>
        </w:tc>
      </w:tr>
      <w:tr w:rsidR="004446D1" w:rsidRPr="002E3969" w14:paraId="05CABBE7" w14:textId="77777777" w:rsidTr="006A59F8">
        <w:trPr>
          <w:trHeight w:val="300"/>
          <w:jc w:val="center"/>
        </w:trPr>
        <w:tc>
          <w:tcPr>
            <w:tcW w:w="0" w:type="auto"/>
            <w:vMerge w:val="restart"/>
            <w:vAlign w:val="center"/>
            <w:hideMark/>
          </w:tcPr>
          <w:p w14:paraId="1A6B8BCC" w14:textId="77777777" w:rsidR="004446D1" w:rsidRPr="002E3969" w:rsidRDefault="004446D1" w:rsidP="002E3969">
            <w:pPr>
              <w:pStyle w:val="Tabletext"/>
              <w:rPr>
                <w:b/>
                <w:bCs/>
                <w:color w:val="FFFFFF"/>
              </w:rPr>
            </w:pPr>
            <w:r w:rsidRPr="002E3969">
              <w:rPr>
                <w:b/>
                <w:bCs/>
              </w:rPr>
              <w:t>Broadcasting Rx</w:t>
            </w:r>
          </w:p>
        </w:tc>
        <w:tc>
          <w:tcPr>
            <w:tcW w:w="0" w:type="auto"/>
            <w:hideMark/>
          </w:tcPr>
          <w:p w14:paraId="2ADECA95" w14:textId="77777777" w:rsidR="004446D1" w:rsidRPr="002E3969" w:rsidRDefault="004446D1" w:rsidP="002E3969">
            <w:pPr>
              <w:pStyle w:val="Tabletext"/>
              <w:rPr>
                <w:color w:val="000000"/>
              </w:rPr>
            </w:pPr>
            <w:r w:rsidRPr="002E3969">
              <w:rPr>
                <w:color w:val="000000"/>
              </w:rPr>
              <w:t>Antenna Gain (Rx) (dBi)</w:t>
            </w:r>
          </w:p>
        </w:tc>
        <w:tc>
          <w:tcPr>
            <w:tcW w:w="0" w:type="auto"/>
            <w:hideMark/>
          </w:tcPr>
          <w:p w14:paraId="400E75D1" w14:textId="77777777" w:rsidR="004446D1" w:rsidRPr="002E3969" w:rsidRDefault="004446D1" w:rsidP="002E3969">
            <w:pPr>
              <w:pStyle w:val="Tabletext"/>
              <w:rPr>
                <w:color w:val="000000"/>
              </w:rPr>
            </w:pPr>
            <w:r w:rsidRPr="002E3969">
              <w:rPr>
                <w:color w:val="000000"/>
              </w:rPr>
              <w:t>9.15</w:t>
            </w:r>
          </w:p>
        </w:tc>
      </w:tr>
      <w:tr w:rsidR="004446D1" w:rsidRPr="002E3969" w14:paraId="7BB8273F" w14:textId="77777777" w:rsidTr="006A59F8">
        <w:trPr>
          <w:trHeight w:val="300"/>
          <w:jc w:val="center"/>
        </w:trPr>
        <w:tc>
          <w:tcPr>
            <w:tcW w:w="0" w:type="auto"/>
            <w:vMerge/>
            <w:hideMark/>
          </w:tcPr>
          <w:p w14:paraId="4D9752C0" w14:textId="77777777" w:rsidR="004446D1" w:rsidRPr="002E3969" w:rsidRDefault="004446D1" w:rsidP="002E3969">
            <w:pPr>
              <w:pStyle w:val="Tabletext"/>
              <w:rPr>
                <w:color w:val="FFFFFF"/>
              </w:rPr>
            </w:pPr>
          </w:p>
        </w:tc>
        <w:tc>
          <w:tcPr>
            <w:tcW w:w="0" w:type="auto"/>
            <w:hideMark/>
          </w:tcPr>
          <w:p w14:paraId="414E74AE" w14:textId="77777777" w:rsidR="004446D1" w:rsidRPr="002E3969" w:rsidRDefault="004446D1" w:rsidP="002E3969">
            <w:pPr>
              <w:pStyle w:val="Tabletext"/>
              <w:rPr>
                <w:color w:val="000000"/>
              </w:rPr>
            </w:pPr>
            <w:r w:rsidRPr="002E3969">
              <w:rPr>
                <w:color w:val="000000"/>
              </w:rPr>
              <w:t>Antenna Height (Rx) (m)</w:t>
            </w:r>
          </w:p>
        </w:tc>
        <w:tc>
          <w:tcPr>
            <w:tcW w:w="0" w:type="auto"/>
            <w:hideMark/>
          </w:tcPr>
          <w:p w14:paraId="79DF0462" w14:textId="77777777" w:rsidR="004446D1" w:rsidRPr="002E3969" w:rsidRDefault="004446D1" w:rsidP="002E3969">
            <w:pPr>
              <w:pStyle w:val="Tabletext"/>
              <w:rPr>
                <w:color w:val="000000"/>
              </w:rPr>
            </w:pPr>
            <w:r w:rsidRPr="002E3969">
              <w:rPr>
                <w:color w:val="000000"/>
              </w:rPr>
              <w:t>10</w:t>
            </w:r>
          </w:p>
        </w:tc>
      </w:tr>
      <w:tr w:rsidR="004446D1" w:rsidRPr="002E3969" w14:paraId="0B4AD8F3" w14:textId="77777777" w:rsidTr="006A59F8">
        <w:trPr>
          <w:trHeight w:val="300"/>
          <w:jc w:val="center"/>
        </w:trPr>
        <w:tc>
          <w:tcPr>
            <w:tcW w:w="0" w:type="auto"/>
            <w:vMerge/>
            <w:hideMark/>
          </w:tcPr>
          <w:p w14:paraId="62C6A1A2" w14:textId="77777777" w:rsidR="004446D1" w:rsidRPr="002E3969" w:rsidRDefault="004446D1" w:rsidP="002E3969">
            <w:pPr>
              <w:pStyle w:val="Tabletext"/>
              <w:rPr>
                <w:color w:val="FFFFFF"/>
              </w:rPr>
            </w:pPr>
          </w:p>
        </w:tc>
        <w:tc>
          <w:tcPr>
            <w:tcW w:w="0" w:type="auto"/>
            <w:hideMark/>
          </w:tcPr>
          <w:p w14:paraId="7933A687" w14:textId="77777777" w:rsidR="004446D1" w:rsidRPr="002E3969" w:rsidRDefault="004446D1" w:rsidP="002E3969">
            <w:pPr>
              <w:pStyle w:val="Tabletext"/>
              <w:rPr>
                <w:color w:val="000000"/>
              </w:rPr>
            </w:pPr>
            <w:r w:rsidRPr="002E3969">
              <w:rPr>
                <w:color w:val="000000"/>
              </w:rPr>
              <w:t>Antenna Pattern (Rx)</w:t>
            </w:r>
          </w:p>
        </w:tc>
        <w:tc>
          <w:tcPr>
            <w:tcW w:w="0" w:type="auto"/>
            <w:hideMark/>
          </w:tcPr>
          <w:p w14:paraId="4D8891B6" w14:textId="77777777" w:rsidR="004446D1" w:rsidRPr="002E3969" w:rsidRDefault="004446D1" w:rsidP="002E3969">
            <w:pPr>
              <w:pStyle w:val="Tabletext"/>
              <w:rPr>
                <w:color w:val="000000"/>
              </w:rPr>
            </w:pPr>
            <w:r w:rsidRPr="002E3969">
              <w:rPr>
                <w:color w:val="000000"/>
              </w:rPr>
              <w:t>ITU-R BT.419-3</w:t>
            </w:r>
          </w:p>
        </w:tc>
      </w:tr>
      <w:tr w:rsidR="004446D1" w:rsidRPr="002E3969" w14:paraId="2682D0C2" w14:textId="77777777" w:rsidTr="006A59F8">
        <w:trPr>
          <w:trHeight w:val="300"/>
          <w:jc w:val="center"/>
        </w:trPr>
        <w:tc>
          <w:tcPr>
            <w:tcW w:w="0" w:type="auto"/>
            <w:vMerge/>
            <w:hideMark/>
          </w:tcPr>
          <w:p w14:paraId="51718FFC" w14:textId="77777777" w:rsidR="004446D1" w:rsidRPr="002E3969" w:rsidRDefault="004446D1" w:rsidP="002E3969">
            <w:pPr>
              <w:pStyle w:val="Tabletext"/>
              <w:rPr>
                <w:color w:val="FFFFFF"/>
              </w:rPr>
            </w:pPr>
          </w:p>
        </w:tc>
        <w:tc>
          <w:tcPr>
            <w:tcW w:w="0" w:type="auto"/>
            <w:hideMark/>
          </w:tcPr>
          <w:p w14:paraId="0CAD88BF" w14:textId="77777777" w:rsidR="004446D1" w:rsidRPr="002E3969" w:rsidRDefault="004446D1" w:rsidP="002E3969">
            <w:pPr>
              <w:pStyle w:val="Tabletext"/>
              <w:rPr>
                <w:color w:val="000000"/>
              </w:rPr>
            </w:pPr>
            <w:r w:rsidRPr="002E3969">
              <w:rPr>
                <w:color w:val="000000"/>
              </w:rPr>
              <w:t>Noise Figure (Rx) (dB)</w:t>
            </w:r>
          </w:p>
        </w:tc>
        <w:tc>
          <w:tcPr>
            <w:tcW w:w="0" w:type="auto"/>
            <w:hideMark/>
          </w:tcPr>
          <w:p w14:paraId="7863C4D3" w14:textId="77777777" w:rsidR="004446D1" w:rsidRPr="002E3969" w:rsidRDefault="004446D1" w:rsidP="002E3969">
            <w:pPr>
              <w:pStyle w:val="Tabletext"/>
              <w:rPr>
                <w:color w:val="000000"/>
              </w:rPr>
            </w:pPr>
            <w:r w:rsidRPr="002E3969">
              <w:rPr>
                <w:color w:val="000000"/>
              </w:rPr>
              <w:t>6</w:t>
            </w:r>
          </w:p>
        </w:tc>
      </w:tr>
      <w:tr w:rsidR="004446D1" w:rsidRPr="002E3969" w14:paraId="4E8D525C" w14:textId="77777777" w:rsidTr="006A59F8">
        <w:trPr>
          <w:trHeight w:val="300"/>
          <w:jc w:val="center"/>
        </w:trPr>
        <w:tc>
          <w:tcPr>
            <w:tcW w:w="0" w:type="auto"/>
            <w:vMerge/>
            <w:hideMark/>
          </w:tcPr>
          <w:p w14:paraId="038F70EE" w14:textId="77777777" w:rsidR="004446D1" w:rsidRPr="002E3969" w:rsidRDefault="004446D1" w:rsidP="002E3969">
            <w:pPr>
              <w:pStyle w:val="Tabletext"/>
              <w:rPr>
                <w:color w:val="FFFFFF"/>
              </w:rPr>
            </w:pPr>
          </w:p>
        </w:tc>
        <w:tc>
          <w:tcPr>
            <w:tcW w:w="0" w:type="auto"/>
            <w:hideMark/>
          </w:tcPr>
          <w:p w14:paraId="30EC14C2" w14:textId="77777777" w:rsidR="004446D1" w:rsidRPr="002E3969" w:rsidRDefault="004446D1" w:rsidP="002E3969">
            <w:pPr>
              <w:pStyle w:val="Tabletext"/>
              <w:rPr>
                <w:color w:val="000000"/>
              </w:rPr>
            </w:pPr>
            <w:r w:rsidRPr="002E3969">
              <w:rPr>
                <w:color w:val="000000"/>
              </w:rPr>
              <w:t>Bandwidth (MHz)</w:t>
            </w:r>
          </w:p>
        </w:tc>
        <w:tc>
          <w:tcPr>
            <w:tcW w:w="0" w:type="auto"/>
            <w:hideMark/>
          </w:tcPr>
          <w:p w14:paraId="6BE51617" w14:textId="77777777" w:rsidR="004446D1" w:rsidRPr="002E3969" w:rsidRDefault="004446D1" w:rsidP="002E3969">
            <w:pPr>
              <w:pStyle w:val="Tabletext"/>
              <w:rPr>
                <w:color w:val="000000"/>
              </w:rPr>
            </w:pPr>
            <w:r w:rsidRPr="002E3969">
              <w:rPr>
                <w:color w:val="000000"/>
              </w:rPr>
              <w:t>7.77</w:t>
            </w:r>
          </w:p>
        </w:tc>
      </w:tr>
      <w:tr w:rsidR="004446D1" w:rsidRPr="002E3969" w14:paraId="7C43B2BC" w14:textId="77777777" w:rsidTr="006A59F8">
        <w:trPr>
          <w:trHeight w:val="300"/>
          <w:jc w:val="center"/>
        </w:trPr>
        <w:tc>
          <w:tcPr>
            <w:tcW w:w="0" w:type="auto"/>
            <w:vMerge/>
            <w:hideMark/>
          </w:tcPr>
          <w:p w14:paraId="1E9D83BE" w14:textId="77777777" w:rsidR="004446D1" w:rsidRPr="002E3969" w:rsidRDefault="004446D1" w:rsidP="002E3969">
            <w:pPr>
              <w:pStyle w:val="Tabletext"/>
              <w:rPr>
                <w:color w:val="FFFFFF"/>
              </w:rPr>
            </w:pPr>
          </w:p>
        </w:tc>
        <w:tc>
          <w:tcPr>
            <w:tcW w:w="0" w:type="auto"/>
            <w:hideMark/>
          </w:tcPr>
          <w:p w14:paraId="1BD3CE37" w14:textId="77777777" w:rsidR="004446D1" w:rsidRPr="002E3969" w:rsidRDefault="004446D1" w:rsidP="002E3969">
            <w:pPr>
              <w:pStyle w:val="Tabletext"/>
              <w:rPr>
                <w:color w:val="000000"/>
              </w:rPr>
            </w:pPr>
            <w:r w:rsidRPr="002E3969">
              <w:rPr>
                <w:color w:val="000000"/>
              </w:rPr>
              <w:t>I/N (dB)</w:t>
            </w:r>
          </w:p>
        </w:tc>
        <w:tc>
          <w:tcPr>
            <w:tcW w:w="0" w:type="auto"/>
            <w:hideMark/>
          </w:tcPr>
          <w:p w14:paraId="279AE4AE" w14:textId="77777777" w:rsidR="004446D1" w:rsidRPr="002E3969" w:rsidRDefault="004446D1" w:rsidP="002E3969">
            <w:pPr>
              <w:pStyle w:val="Tabletext"/>
              <w:rPr>
                <w:color w:val="000000"/>
              </w:rPr>
            </w:pPr>
            <w:r w:rsidRPr="002E3969">
              <w:rPr>
                <w:color w:val="000000"/>
              </w:rPr>
              <w:t>-10</w:t>
            </w:r>
          </w:p>
        </w:tc>
      </w:tr>
    </w:tbl>
    <w:p w14:paraId="4C2CDA18" w14:textId="498C4773" w:rsidR="004446D1" w:rsidRPr="002E3969" w:rsidRDefault="004446D1" w:rsidP="002E3969">
      <w:pPr>
        <w:pStyle w:val="Heading1"/>
        <w:rPr>
          <w:lang w:eastAsia="zh-CN"/>
        </w:rPr>
      </w:pPr>
      <w:r w:rsidRPr="002E3969">
        <w:rPr>
          <w:lang w:eastAsia="zh-CN"/>
        </w:rPr>
        <w:t>3</w:t>
      </w:r>
      <w:r w:rsidRPr="002E3969">
        <w:rPr>
          <w:lang w:eastAsia="zh-CN"/>
        </w:rPr>
        <w:tab/>
        <w:t>Results</w:t>
      </w:r>
    </w:p>
    <w:p w14:paraId="6FB7B809" w14:textId="224E2461" w:rsidR="004446D1" w:rsidRPr="002E3969" w:rsidRDefault="004446D1" w:rsidP="004446D1">
      <w:pPr>
        <w:spacing w:before="0"/>
        <w:rPr>
          <w:szCs w:val="24"/>
          <w:lang w:eastAsia="zh-CN"/>
        </w:rPr>
      </w:pPr>
      <w:r w:rsidRPr="002E3969">
        <w:rPr>
          <w:szCs w:val="24"/>
          <w:lang w:eastAsia="zh-CN"/>
        </w:rPr>
        <w:t>The below results were obtained by re-conducting the study using the available parameters and assumptions from TG</w:t>
      </w:r>
      <w:r w:rsidR="002E3969" w:rsidRPr="002E3969">
        <w:rPr>
          <w:szCs w:val="24"/>
          <w:lang w:eastAsia="zh-CN"/>
        </w:rPr>
        <w:t xml:space="preserve"> </w:t>
      </w:r>
      <w:r w:rsidRPr="002E3969">
        <w:rPr>
          <w:szCs w:val="24"/>
          <w:lang w:eastAsia="zh-CN"/>
        </w:rPr>
        <w:t>6/1 parameter tables. Monte Carlo methodology was used, and 9 UE’s per IMT sector, with 21 sectors (single tier IMT system). Full discrimination between the systems is considered. The protection distance was calculated as below:</w:t>
      </w:r>
    </w:p>
    <w:p w14:paraId="761C31FE" w14:textId="77777777" w:rsidR="004446D1" w:rsidRPr="002E3969" w:rsidRDefault="004446D1" w:rsidP="004446D1">
      <w:pPr>
        <w:rPr>
          <w:szCs w:val="24"/>
          <w:lang w:eastAsia="zh-CN"/>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3965"/>
      </w:tblGrid>
      <w:tr w:rsidR="004446D1" w:rsidRPr="002E3969" w14:paraId="11C1A00A" w14:textId="77777777" w:rsidTr="006A59F8">
        <w:trPr>
          <w:trHeight w:val="432"/>
          <w:jc w:val="center"/>
        </w:trPr>
        <w:tc>
          <w:tcPr>
            <w:tcW w:w="9185" w:type="dxa"/>
            <w:gridSpan w:val="2"/>
            <w:shd w:val="clear" w:color="auto" w:fill="auto"/>
            <w:vAlign w:val="center"/>
          </w:tcPr>
          <w:p w14:paraId="32B6DFE0" w14:textId="77777777" w:rsidR="004446D1" w:rsidRPr="002E3969" w:rsidRDefault="004446D1" w:rsidP="002E3969">
            <w:pPr>
              <w:pStyle w:val="Tablehead"/>
            </w:pPr>
            <w:r w:rsidRPr="002E3969">
              <w:t xml:space="preserve">Probability of interference from 10 MHz IMT UL UE's into 8 MHz DTTB reception; </w:t>
            </w:r>
          </w:p>
          <w:p w14:paraId="2CB75EEE" w14:textId="77777777" w:rsidR="004446D1" w:rsidRPr="002E3969" w:rsidRDefault="004446D1" w:rsidP="002E3969">
            <w:pPr>
              <w:pStyle w:val="Tablehead"/>
            </w:pPr>
            <w:r w:rsidRPr="002E3969">
              <w:t>IMT BS-DTTB co-channel – 9 UE's per BS Sector - Single Tier System</w:t>
            </w:r>
          </w:p>
        </w:tc>
      </w:tr>
      <w:tr w:rsidR="004446D1" w:rsidRPr="002E3969" w14:paraId="31A1CB54" w14:textId="77777777" w:rsidTr="006A59F8">
        <w:trPr>
          <w:trHeight w:val="510"/>
          <w:jc w:val="center"/>
        </w:trPr>
        <w:tc>
          <w:tcPr>
            <w:tcW w:w="5220" w:type="dxa"/>
            <w:shd w:val="clear" w:color="auto" w:fill="auto"/>
            <w:vAlign w:val="center"/>
            <w:hideMark/>
          </w:tcPr>
          <w:p w14:paraId="4C254F5D" w14:textId="77777777" w:rsidR="004446D1" w:rsidRPr="002E3969" w:rsidRDefault="004446D1" w:rsidP="002E3969">
            <w:pPr>
              <w:pStyle w:val="Tablehead"/>
              <w:rPr>
                <w:rFonts w:ascii="Times New Roman" w:hAnsi="Times New Roman"/>
                <w:color w:val="000000"/>
              </w:rPr>
            </w:pPr>
            <w:r w:rsidRPr="002E3969">
              <w:rPr>
                <w:rFonts w:ascii="Times New Roman" w:hAnsi="Times New Roman"/>
                <w:color w:val="000000"/>
              </w:rPr>
              <w:t>Minimum separation distance</w:t>
            </w:r>
          </w:p>
        </w:tc>
        <w:tc>
          <w:tcPr>
            <w:tcW w:w="3965" w:type="dxa"/>
            <w:vMerge w:val="restart"/>
            <w:shd w:val="clear" w:color="auto" w:fill="auto"/>
            <w:vAlign w:val="center"/>
            <w:hideMark/>
          </w:tcPr>
          <w:p w14:paraId="4E62714F" w14:textId="77777777" w:rsidR="004446D1" w:rsidRPr="002E3969" w:rsidRDefault="004446D1" w:rsidP="002E3969">
            <w:pPr>
              <w:pStyle w:val="Tablehead"/>
              <w:rPr>
                <w:rFonts w:ascii="Symbol" w:hAnsi="Symbol" w:cs="Calibri"/>
                <w:color w:val="000000"/>
              </w:rPr>
            </w:pPr>
            <w:r w:rsidRPr="002E3969">
              <w:rPr>
                <w:color w:val="000000"/>
              </w:rPr>
              <w:t>Probability of Interference</w:t>
            </w:r>
            <w:r w:rsidRPr="002E3969">
              <w:rPr>
                <w:rFonts w:ascii="Times New Roman" w:hAnsi="Times New Roman"/>
                <w:color w:val="000000"/>
              </w:rPr>
              <w:t xml:space="preserve"> </w:t>
            </w:r>
          </w:p>
        </w:tc>
      </w:tr>
      <w:tr w:rsidR="004446D1" w:rsidRPr="002E3969" w14:paraId="3A01649B" w14:textId="77777777" w:rsidTr="006A59F8">
        <w:trPr>
          <w:trHeight w:val="315"/>
          <w:jc w:val="center"/>
        </w:trPr>
        <w:tc>
          <w:tcPr>
            <w:tcW w:w="5220" w:type="dxa"/>
            <w:shd w:val="clear" w:color="auto" w:fill="auto"/>
            <w:vAlign w:val="center"/>
            <w:hideMark/>
          </w:tcPr>
          <w:p w14:paraId="27021103" w14:textId="77777777" w:rsidR="004446D1" w:rsidRPr="002E3969" w:rsidRDefault="004446D1" w:rsidP="002E3969">
            <w:pPr>
              <w:pStyle w:val="Tablehead"/>
            </w:pPr>
            <w:r w:rsidRPr="002E3969">
              <w:t>(m)</w:t>
            </w:r>
          </w:p>
        </w:tc>
        <w:tc>
          <w:tcPr>
            <w:tcW w:w="3965" w:type="dxa"/>
            <w:vMerge/>
            <w:vAlign w:val="center"/>
            <w:hideMark/>
          </w:tcPr>
          <w:p w14:paraId="15535C1C" w14:textId="77777777" w:rsidR="004446D1" w:rsidRPr="002E3969" w:rsidRDefault="004446D1" w:rsidP="006A59F8">
            <w:pPr>
              <w:spacing w:before="0"/>
              <w:rPr>
                <w:rFonts w:ascii="Symbol" w:hAnsi="Symbol" w:cs="Calibri"/>
                <w:b/>
                <w:bCs/>
                <w:color w:val="000000"/>
              </w:rPr>
            </w:pPr>
          </w:p>
        </w:tc>
      </w:tr>
      <w:tr w:rsidR="004446D1" w:rsidRPr="002E3969" w14:paraId="563AC724" w14:textId="77777777" w:rsidTr="006A59F8">
        <w:trPr>
          <w:trHeight w:val="315"/>
          <w:jc w:val="center"/>
        </w:trPr>
        <w:tc>
          <w:tcPr>
            <w:tcW w:w="5220" w:type="dxa"/>
            <w:shd w:val="clear" w:color="auto" w:fill="auto"/>
            <w:vAlign w:val="center"/>
            <w:hideMark/>
          </w:tcPr>
          <w:p w14:paraId="627D5E41" w14:textId="77777777" w:rsidR="004446D1" w:rsidRPr="002E3969" w:rsidRDefault="004446D1" w:rsidP="002E3969">
            <w:pPr>
              <w:pStyle w:val="Tabletext"/>
              <w:jc w:val="center"/>
            </w:pPr>
            <w:r w:rsidRPr="002E3969">
              <w:t>10</w:t>
            </w:r>
          </w:p>
        </w:tc>
        <w:tc>
          <w:tcPr>
            <w:tcW w:w="3965" w:type="dxa"/>
            <w:shd w:val="clear" w:color="auto" w:fill="auto"/>
            <w:vAlign w:val="center"/>
            <w:hideMark/>
          </w:tcPr>
          <w:p w14:paraId="7E95DC8B" w14:textId="77777777" w:rsidR="004446D1" w:rsidRPr="002E3969" w:rsidRDefault="004446D1" w:rsidP="002E3969">
            <w:pPr>
              <w:pStyle w:val="Tabletext"/>
              <w:jc w:val="center"/>
            </w:pPr>
            <w:r w:rsidRPr="002E3969">
              <w:t>6.10%</w:t>
            </w:r>
          </w:p>
        </w:tc>
      </w:tr>
      <w:tr w:rsidR="004446D1" w:rsidRPr="002E3969" w14:paraId="2D51326D" w14:textId="77777777" w:rsidTr="006A59F8">
        <w:trPr>
          <w:trHeight w:val="315"/>
          <w:jc w:val="center"/>
        </w:trPr>
        <w:tc>
          <w:tcPr>
            <w:tcW w:w="5220" w:type="dxa"/>
            <w:shd w:val="clear" w:color="auto" w:fill="auto"/>
            <w:vAlign w:val="center"/>
            <w:hideMark/>
          </w:tcPr>
          <w:p w14:paraId="27F699A7" w14:textId="77777777" w:rsidR="004446D1" w:rsidRPr="002E3969" w:rsidRDefault="004446D1" w:rsidP="002E3969">
            <w:pPr>
              <w:pStyle w:val="Tabletext"/>
              <w:jc w:val="center"/>
            </w:pPr>
            <w:r w:rsidRPr="002E3969">
              <w:t>100</w:t>
            </w:r>
          </w:p>
        </w:tc>
        <w:tc>
          <w:tcPr>
            <w:tcW w:w="3965" w:type="dxa"/>
            <w:shd w:val="clear" w:color="auto" w:fill="auto"/>
            <w:vAlign w:val="center"/>
            <w:hideMark/>
          </w:tcPr>
          <w:p w14:paraId="3A7172E3" w14:textId="77777777" w:rsidR="004446D1" w:rsidRPr="002E3969" w:rsidRDefault="004446D1" w:rsidP="002E3969">
            <w:pPr>
              <w:pStyle w:val="Tabletext"/>
              <w:jc w:val="center"/>
            </w:pPr>
            <w:r w:rsidRPr="002E3969">
              <w:t>4.40%</w:t>
            </w:r>
          </w:p>
        </w:tc>
      </w:tr>
      <w:tr w:rsidR="004446D1" w:rsidRPr="002E3969" w14:paraId="367F19EB" w14:textId="77777777" w:rsidTr="006A59F8">
        <w:trPr>
          <w:trHeight w:val="315"/>
          <w:jc w:val="center"/>
        </w:trPr>
        <w:tc>
          <w:tcPr>
            <w:tcW w:w="5220" w:type="dxa"/>
            <w:shd w:val="clear" w:color="auto" w:fill="auto"/>
            <w:vAlign w:val="center"/>
            <w:hideMark/>
          </w:tcPr>
          <w:p w14:paraId="1F084FC6" w14:textId="77777777" w:rsidR="004446D1" w:rsidRPr="002E3969" w:rsidRDefault="004446D1" w:rsidP="002E3969">
            <w:pPr>
              <w:pStyle w:val="Tabletext"/>
              <w:jc w:val="center"/>
            </w:pPr>
            <w:r w:rsidRPr="002E3969">
              <w:lastRenderedPageBreak/>
              <w:t>200</w:t>
            </w:r>
          </w:p>
        </w:tc>
        <w:tc>
          <w:tcPr>
            <w:tcW w:w="3965" w:type="dxa"/>
            <w:shd w:val="clear" w:color="auto" w:fill="auto"/>
            <w:vAlign w:val="center"/>
            <w:hideMark/>
          </w:tcPr>
          <w:p w14:paraId="1CE9200B" w14:textId="77777777" w:rsidR="004446D1" w:rsidRPr="002E3969" w:rsidRDefault="004446D1" w:rsidP="002E3969">
            <w:pPr>
              <w:pStyle w:val="Tabletext"/>
              <w:jc w:val="center"/>
            </w:pPr>
            <w:r w:rsidRPr="002E3969">
              <w:t>3.00%</w:t>
            </w:r>
          </w:p>
        </w:tc>
      </w:tr>
      <w:tr w:rsidR="004446D1" w:rsidRPr="002E3969" w14:paraId="785D4AC2" w14:textId="77777777" w:rsidTr="006A59F8">
        <w:trPr>
          <w:trHeight w:val="315"/>
          <w:jc w:val="center"/>
        </w:trPr>
        <w:tc>
          <w:tcPr>
            <w:tcW w:w="5220" w:type="dxa"/>
            <w:shd w:val="clear" w:color="auto" w:fill="auto"/>
            <w:vAlign w:val="center"/>
            <w:hideMark/>
          </w:tcPr>
          <w:p w14:paraId="451210A1" w14:textId="77777777" w:rsidR="004446D1" w:rsidRPr="002E3969" w:rsidRDefault="004446D1" w:rsidP="002E3969">
            <w:pPr>
              <w:pStyle w:val="Tabletext"/>
              <w:jc w:val="center"/>
            </w:pPr>
            <w:r w:rsidRPr="002E3969">
              <w:t>300</w:t>
            </w:r>
          </w:p>
        </w:tc>
        <w:tc>
          <w:tcPr>
            <w:tcW w:w="3965" w:type="dxa"/>
            <w:shd w:val="clear" w:color="auto" w:fill="auto"/>
            <w:vAlign w:val="center"/>
            <w:hideMark/>
          </w:tcPr>
          <w:p w14:paraId="6114DC88" w14:textId="77777777" w:rsidR="004446D1" w:rsidRPr="002E3969" w:rsidRDefault="004446D1" w:rsidP="002E3969">
            <w:pPr>
              <w:pStyle w:val="Tabletext"/>
              <w:jc w:val="center"/>
            </w:pPr>
            <w:r w:rsidRPr="002E3969">
              <w:t>1.20%</w:t>
            </w:r>
          </w:p>
        </w:tc>
      </w:tr>
    </w:tbl>
    <w:p w14:paraId="2E09F042" w14:textId="783FFAFA" w:rsidR="004446D1" w:rsidRPr="002E3969" w:rsidRDefault="004446D1" w:rsidP="004446D1">
      <w:pPr>
        <w:rPr>
          <w:szCs w:val="24"/>
          <w:lang w:eastAsia="zh-CN"/>
        </w:rPr>
      </w:pPr>
      <w:r w:rsidRPr="002E3969">
        <w:rPr>
          <w:szCs w:val="24"/>
          <w:lang w:eastAsia="zh-CN"/>
        </w:rPr>
        <w:t>As can be seen from the above Monte Carlo study results using the same parameters as found in Study 3.1.2.3 in the TG</w:t>
      </w:r>
      <w:r w:rsidR="002E3969" w:rsidRPr="002E3969">
        <w:rPr>
          <w:szCs w:val="24"/>
          <w:lang w:eastAsia="zh-CN"/>
        </w:rPr>
        <w:t xml:space="preserve"> </w:t>
      </w:r>
      <w:r w:rsidRPr="002E3969">
        <w:rPr>
          <w:szCs w:val="24"/>
          <w:lang w:eastAsia="zh-CN"/>
        </w:rPr>
        <w:t>6/1 Chairman’s Report, the protection distances from IMT UE’s to DTTB receivers is in the range of few hundred meters.</w:t>
      </w:r>
    </w:p>
    <w:bookmarkEnd w:id="8"/>
    <w:p w14:paraId="1E5BBE01" w14:textId="6D869E35" w:rsidR="00136AB7" w:rsidRPr="002E3969" w:rsidRDefault="00136AB7">
      <w:pPr>
        <w:tabs>
          <w:tab w:val="clear" w:pos="1134"/>
          <w:tab w:val="clear" w:pos="1871"/>
          <w:tab w:val="clear" w:pos="2268"/>
        </w:tabs>
        <w:overflowPunct/>
        <w:autoSpaceDE/>
        <w:autoSpaceDN/>
        <w:adjustRightInd/>
        <w:spacing w:before="0"/>
        <w:textAlignment w:val="auto"/>
        <w:rPr>
          <w:lang w:eastAsia="zh-CN"/>
        </w:rPr>
      </w:pPr>
    </w:p>
    <w:p w14:paraId="4094FDE3" w14:textId="778EE510" w:rsidR="000069D4" w:rsidRPr="002E3969" w:rsidRDefault="004446D1" w:rsidP="004446D1">
      <w:pPr>
        <w:jc w:val="center"/>
        <w:rPr>
          <w:lang w:eastAsia="zh-CN"/>
        </w:rPr>
      </w:pPr>
      <w:r w:rsidRPr="002E3969">
        <w:rPr>
          <w:lang w:eastAsia="zh-CN"/>
        </w:rPr>
        <w:t>______________</w:t>
      </w:r>
    </w:p>
    <w:sectPr w:rsidR="000069D4" w:rsidRPr="002E3969" w:rsidSect="00D02712">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C5853" w14:textId="77777777" w:rsidR="00136AB7" w:rsidRDefault="00136AB7">
      <w:r>
        <w:separator/>
      </w:r>
    </w:p>
  </w:endnote>
  <w:endnote w:type="continuationSeparator" w:id="0">
    <w:p w14:paraId="4F0ADB40" w14:textId="77777777" w:rsidR="00136AB7" w:rsidRDefault="00136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04D5" w14:textId="24DAA70F" w:rsidR="00FA124A" w:rsidRPr="002F7CB3" w:rsidRDefault="009C185B">
    <w:pPr>
      <w:pStyle w:val="Footer"/>
      <w:rPr>
        <w:lang w:val="en-US"/>
      </w:rPr>
    </w:pPr>
    <w:fldSimple w:instr=" FILENAME \p \* MERGEFORMAT ">
      <w:r w:rsidR="002E3969" w:rsidRPr="002E3969">
        <w:rPr>
          <w:lang w:val="en-US"/>
        </w:rPr>
        <w:t>M</w:t>
      </w:r>
      <w:r w:rsidR="002E3969">
        <w:t>:\BRSGD\TEXT2019\SG06\TG6-1\100\123e.docx</w:t>
      </w:r>
    </w:fldSimple>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136AB7">
      <w:t>00.00.00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136AB7">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2925" w14:textId="4F49DDF5" w:rsidR="00FA124A" w:rsidRPr="002F7CB3" w:rsidRDefault="009C185B" w:rsidP="00E6257C">
    <w:pPr>
      <w:pStyle w:val="Footer"/>
      <w:rPr>
        <w:lang w:val="en-US"/>
      </w:rPr>
    </w:pPr>
    <w:fldSimple w:instr=" FILENAME \p \* MERGEFORMAT ">
      <w:r w:rsidR="002E3969" w:rsidRPr="002E3969">
        <w:rPr>
          <w:lang w:val="en-US"/>
        </w:rPr>
        <w:t>M</w:t>
      </w:r>
      <w:r w:rsidR="002E3969">
        <w:t>:\BRSGD\TEXT2019\SG06\TG6-1\100\123e.docx</w:t>
      </w:r>
    </w:fldSimple>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136AB7">
      <w:t>00.00.00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136AB7">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CF216" w14:textId="77777777" w:rsidR="00136AB7" w:rsidRDefault="00136AB7">
      <w:r>
        <w:t>____________________</w:t>
      </w:r>
    </w:p>
  </w:footnote>
  <w:footnote w:type="continuationSeparator" w:id="0">
    <w:p w14:paraId="5D7F3C7E" w14:textId="77777777" w:rsidR="00136AB7" w:rsidRDefault="00136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6D86"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7A4492E8" w14:textId="77777777" w:rsidR="00FA124A" w:rsidRDefault="00136AB7">
    <w:pPr>
      <w:pStyle w:val="Header"/>
      <w:rPr>
        <w:lang w:val="en-US"/>
      </w:rPr>
    </w:pPr>
    <w:r>
      <w:rPr>
        <w:lang w:val="en-US"/>
      </w:rPr>
      <w:t>6-1/123-E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36AB7"/>
    <w:rsid w:val="000069D4"/>
    <w:rsid w:val="000174AD"/>
    <w:rsid w:val="00047A1D"/>
    <w:rsid w:val="000604B9"/>
    <w:rsid w:val="000A7D55"/>
    <w:rsid w:val="000C12C8"/>
    <w:rsid w:val="000C2E8E"/>
    <w:rsid w:val="000E0E7C"/>
    <w:rsid w:val="000F1B4B"/>
    <w:rsid w:val="0012744F"/>
    <w:rsid w:val="00131178"/>
    <w:rsid w:val="00136AB7"/>
    <w:rsid w:val="00156F66"/>
    <w:rsid w:val="00163271"/>
    <w:rsid w:val="00172122"/>
    <w:rsid w:val="00182528"/>
    <w:rsid w:val="0018500B"/>
    <w:rsid w:val="00196A19"/>
    <w:rsid w:val="00202DC1"/>
    <w:rsid w:val="002116EE"/>
    <w:rsid w:val="002309D8"/>
    <w:rsid w:val="002A7FE2"/>
    <w:rsid w:val="002E1B4F"/>
    <w:rsid w:val="002E3969"/>
    <w:rsid w:val="002F2E67"/>
    <w:rsid w:val="002F7CB3"/>
    <w:rsid w:val="00315546"/>
    <w:rsid w:val="00330567"/>
    <w:rsid w:val="00386A9D"/>
    <w:rsid w:val="00391081"/>
    <w:rsid w:val="003B2789"/>
    <w:rsid w:val="003C13CE"/>
    <w:rsid w:val="003C697E"/>
    <w:rsid w:val="003E2518"/>
    <w:rsid w:val="003E7CEF"/>
    <w:rsid w:val="004446D1"/>
    <w:rsid w:val="004B1EF7"/>
    <w:rsid w:val="004B3FAD"/>
    <w:rsid w:val="004C5749"/>
    <w:rsid w:val="00501DCA"/>
    <w:rsid w:val="00513A47"/>
    <w:rsid w:val="005408DF"/>
    <w:rsid w:val="00573344"/>
    <w:rsid w:val="00583F9B"/>
    <w:rsid w:val="005B0D29"/>
    <w:rsid w:val="005E5C10"/>
    <w:rsid w:val="005F2C78"/>
    <w:rsid w:val="006144E4"/>
    <w:rsid w:val="00650299"/>
    <w:rsid w:val="00655FC5"/>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B28A6"/>
  <w15:docId w15:val="{74F0D7C0-BAC5-4C59-A423-31C214764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paragraph" w:customStyle="1" w:styleId="ECCTabletext">
    <w:name w:val="ECC Table text"/>
    <w:basedOn w:val="Normal"/>
    <w:qFormat/>
    <w:rsid w:val="004446D1"/>
    <w:pPr>
      <w:tabs>
        <w:tab w:val="clear" w:pos="1134"/>
        <w:tab w:val="clear" w:pos="1871"/>
        <w:tab w:val="clear" w:pos="2268"/>
      </w:tabs>
      <w:overflowPunct/>
      <w:autoSpaceDE/>
      <w:autoSpaceDN/>
      <w:adjustRightInd/>
      <w:spacing w:before="60" w:after="60"/>
      <w:jc w:val="both"/>
      <w:textAlignment w:val="auto"/>
    </w:pPr>
    <w:rPr>
      <w:rFonts w:ascii="Arial" w:eastAsia="Calibri" w:hAnsi="Arial"/>
      <w:sz w:val="20"/>
      <w:szCs w:val="22"/>
    </w:rPr>
  </w:style>
  <w:style w:type="character" w:customStyle="1" w:styleId="ECCParagraph">
    <w:name w:val="ECC Paragraph"/>
    <w:basedOn w:val="DefaultParagraphFont"/>
    <w:uiPriority w:val="1"/>
    <w:qFormat/>
    <w:rsid w:val="004446D1"/>
    <w:rPr>
      <w:rFonts w:ascii="Arial" w:hAnsi="Arial"/>
      <w:noProof w:val="0"/>
      <w:sz w:val="20"/>
      <w:bdr w:val="none" w:sz="0" w:space="0" w:color="auto"/>
      <w:lang w:val="en-GB"/>
    </w:rPr>
  </w:style>
  <w:style w:type="table" w:styleId="TableGrid">
    <w:name w:val="Table Grid"/>
    <w:basedOn w:val="TableNormal"/>
    <w:rsid w:val="004446D1"/>
    <w:pPr>
      <w:jc w:val="both"/>
    </w:pPr>
    <w:rPr>
      <w:rFonts w:ascii="Arial"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C93EA-8B4A-4623-A1C4-59E2A9ED5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9</TotalTime>
  <Pages>3</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Alissa ITU BR</dc:creator>
  <cp:lastModifiedBy>Chamova, Alisa</cp:lastModifiedBy>
  <cp:revision>2</cp:revision>
  <cp:lastPrinted>2008-02-21T14:04:00Z</cp:lastPrinted>
  <dcterms:created xsi:type="dcterms:W3CDTF">2022-08-30T09:22:00Z</dcterms:created>
  <dcterms:modified xsi:type="dcterms:W3CDTF">2022-08-30T09:50:00Z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