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6EF59B42" w14:textId="77777777" w:rsidTr="00876A8A">
        <w:trPr>
          <w:cantSplit/>
        </w:trPr>
        <w:tc>
          <w:tcPr>
            <w:tcW w:w="6487" w:type="dxa"/>
            <w:vAlign w:val="center"/>
          </w:tcPr>
          <w:p w14:paraId="7280B58A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4EC176C1" w14:textId="2EF3E4C4" w:rsidR="009F6520" w:rsidRDefault="0095278A" w:rsidP="0095278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5D9C1026" wp14:editId="47247B4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7C9D7795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F522850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DE17048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9349B8C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0019207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74BFCF9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79D852B2" w14:textId="77777777" w:rsidTr="00876A8A">
        <w:trPr>
          <w:cantSplit/>
        </w:trPr>
        <w:tc>
          <w:tcPr>
            <w:tcW w:w="6487" w:type="dxa"/>
            <w:vMerge w:val="restart"/>
          </w:tcPr>
          <w:p w14:paraId="52402173" w14:textId="7A4120C7" w:rsidR="0095278A" w:rsidRPr="00982084" w:rsidRDefault="003838BB" w:rsidP="0095278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20 October 2021</w:t>
            </w:r>
          </w:p>
        </w:tc>
        <w:tc>
          <w:tcPr>
            <w:tcW w:w="3402" w:type="dxa"/>
          </w:tcPr>
          <w:p w14:paraId="01501F95" w14:textId="5D9B13EF" w:rsidR="000069D4" w:rsidRPr="0095278A" w:rsidRDefault="0095278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6-1/70-E</w:t>
            </w:r>
          </w:p>
        </w:tc>
      </w:tr>
      <w:tr w:rsidR="000069D4" w14:paraId="595D4AAF" w14:textId="77777777" w:rsidTr="00876A8A">
        <w:trPr>
          <w:cantSplit/>
        </w:trPr>
        <w:tc>
          <w:tcPr>
            <w:tcW w:w="6487" w:type="dxa"/>
            <w:vMerge/>
          </w:tcPr>
          <w:p w14:paraId="7AE96003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6615474D" w14:textId="2158A54C" w:rsidR="000069D4" w:rsidRPr="0095278A" w:rsidRDefault="0095278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21 October 2021</w:t>
            </w:r>
          </w:p>
        </w:tc>
      </w:tr>
      <w:tr w:rsidR="000069D4" w14:paraId="01E6312C" w14:textId="77777777" w:rsidTr="00876A8A">
        <w:trPr>
          <w:cantSplit/>
        </w:trPr>
        <w:tc>
          <w:tcPr>
            <w:tcW w:w="6487" w:type="dxa"/>
            <w:vMerge/>
          </w:tcPr>
          <w:p w14:paraId="6B07031F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70FBD84" w14:textId="60CA168B" w:rsidR="000069D4" w:rsidRPr="0095278A" w:rsidRDefault="0095278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4B40AEA8" w14:textId="77777777" w:rsidTr="00D046A7">
        <w:trPr>
          <w:cantSplit/>
        </w:trPr>
        <w:tc>
          <w:tcPr>
            <w:tcW w:w="9889" w:type="dxa"/>
            <w:gridSpan w:val="2"/>
          </w:tcPr>
          <w:p w14:paraId="76F90BA5" w14:textId="4CD8A401" w:rsidR="000069D4" w:rsidRDefault="003838BB" w:rsidP="0095278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 xml:space="preserve">Egypt (Arab Republic of), Saudi Arabia (Kingdom of), </w:t>
            </w:r>
            <w:r>
              <w:rPr>
                <w:lang w:val="en-US" w:eastAsia="zh-CN"/>
              </w:rPr>
              <w:br/>
            </w:r>
            <w:r>
              <w:rPr>
                <w:lang w:val="en-US" w:eastAsia="zh-CN"/>
              </w:rPr>
              <w:t>United Arab Emirates</w:t>
            </w:r>
          </w:p>
        </w:tc>
      </w:tr>
      <w:tr w:rsidR="000069D4" w14:paraId="44E1CB87" w14:textId="77777777" w:rsidTr="00D046A7">
        <w:trPr>
          <w:cantSplit/>
        </w:trPr>
        <w:tc>
          <w:tcPr>
            <w:tcW w:w="9889" w:type="dxa"/>
            <w:gridSpan w:val="2"/>
          </w:tcPr>
          <w:p w14:paraId="0B793B3A" w14:textId="476D8A84" w:rsidR="000069D4" w:rsidRDefault="003838BB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 xml:space="preserve">Proposal For Compliance with Resolution 235 </w:t>
            </w:r>
            <w:r>
              <w:t xml:space="preserve">(WRC-15) </w:t>
            </w:r>
            <w:r>
              <w:br/>
            </w:r>
            <w:r>
              <w:t xml:space="preserve">With Limiting Studies Under wrc-23 agenda item 1.5 </w:t>
            </w:r>
            <w:r>
              <w:br/>
            </w:r>
            <w:r>
              <w:t>to Protection of Primary Services</w:t>
            </w:r>
          </w:p>
        </w:tc>
      </w:tr>
      <w:tr w:rsidR="000069D4" w14:paraId="1E57BF7F" w14:textId="77777777" w:rsidTr="00D046A7">
        <w:trPr>
          <w:cantSplit/>
        </w:trPr>
        <w:tc>
          <w:tcPr>
            <w:tcW w:w="9889" w:type="dxa"/>
            <w:gridSpan w:val="2"/>
          </w:tcPr>
          <w:p w14:paraId="2549E15F" w14:textId="77777777"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633879DE" w14:textId="77777777" w:rsidR="0095278A" w:rsidRPr="00EE5768" w:rsidRDefault="0095278A" w:rsidP="00681F43">
      <w:pPr>
        <w:pStyle w:val="Headingb"/>
        <w:rPr>
          <w:lang w:val="en-US"/>
        </w:rPr>
      </w:pPr>
      <w:bookmarkStart w:id="8" w:name="dbreak"/>
      <w:bookmarkEnd w:id="7"/>
      <w:bookmarkEnd w:id="8"/>
      <w:r>
        <w:rPr>
          <w:lang w:val="en-US"/>
        </w:rPr>
        <w:t>Introduction</w:t>
      </w:r>
    </w:p>
    <w:p w14:paraId="08A833A3" w14:textId="560B7B7A" w:rsidR="0095278A" w:rsidRDefault="0095278A" w:rsidP="00AF4A57">
      <w:pPr>
        <w:jc w:val="both"/>
      </w:pPr>
      <w:r>
        <w:t xml:space="preserve">Resolution </w:t>
      </w:r>
      <w:r w:rsidRPr="00167A91">
        <w:rPr>
          <w:b/>
          <w:bCs/>
        </w:rPr>
        <w:t>235 (WRC-15)</w:t>
      </w:r>
      <w:r>
        <w:t xml:space="preserve"> calls for review of the spectrum use and needs within the frequency band 470-960 MHz in Region 1, and to take appropriate regulatory actions including potential allocation to Mobile Service and/or identification of IMT within the whole band, or parts thereof. It resolves to invite ITU-R, after the 2019 World Radiocommunication Conference and in time for the 2023 World Radiocommunication Conference:</w:t>
      </w:r>
    </w:p>
    <w:p w14:paraId="37D19C9A" w14:textId="474165DD" w:rsidR="0095278A" w:rsidRDefault="0095278A" w:rsidP="00AF4A57">
      <w:pPr>
        <w:pStyle w:val="enumlev1"/>
        <w:jc w:val="both"/>
      </w:pPr>
      <w:r>
        <w:t>1</w:t>
      </w:r>
      <w:r>
        <w:tab/>
        <w:t>to review the spectrum use and study the spectrum needs of existing services within the frequency band 470-960 MHz in Region 1, in particular the spectrum requirements of the broadcasting and mobile, except aeronautical mobile, services, taking into account the relevant ITU Radiocommunication Sector (ITU-R) studies, Recommendations and Reports;</w:t>
      </w:r>
    </w:p>
    <w:p w14:paraId="7F71961C" w14:textId="37067F15" w:rsidR="0095278A" w:rsidRDefault="0095278A" w:rsidP="00AF4A57">
      <w:pPr>
        <w:pStyle w:val="enumlev1"/>
        <w:jc w:val="both"/>
      </w:pPr>
      <w:r>
        <w:t>2</w:t>
      </w:r>
      <w:r>
        <w:tab/>
        <w:t>to carry out sharing and compatibility studies, as appropriate, in the frequency band 470-694 MHz in Region 1 between the broadcasting and mobile, except aeronautical mobile, services, taking into account relevant ITU-R studies, Recommendations and Reports</w:t>
      </w:r>
      <w:r w:rsidR="003838BB">
        <w:t>.</w:t>
      </w:r>
    </w:p>
    <w:p w14:paraId="1E9CCA77" w14:textId="77777777" w:rsidR="0095278A" w:rsidRPr="00EE5768" w:rsidRDefault="0095278A" w:rsidP="007C286C">
      <w:pPr>
        <w:pStyle w:val="Headingb"/>
        <w:rPr>
          <w:lang w:val="en-US"/>
        </w:rPr>
      </w:pPr>
      <w:r>
        <w:rPr>
          <w:lang w:val="en-US"/>
        </w:rPr>
        <w:t>Proposal</w:t>
      </w:r>
    </w:p>
    <w:p w14:paraId="7DCE71DF" w14:textId="617C3ADD" w:rsidR="0095278A" w:rsidRDefault="0095278A" w:rsidP="00AF4A57">
      <w:pPr>
        <w:jc w:val="both"/>
      </w:pPr>
      <w:r>
        <w:t xml:space="preserve">The Co-signing Administrations have the view that the scope of </w:t>
      </w:r>
      <w:r w:rsidR="00AF4A57">
        <w:t>WRC-23 agenda item (AI)</w:t>
      </w:r>
      <w:r>
        <w:t xml:space="preserve"> 1.5 is limited to primary services and mobile service while other secondary services should be excluded completely from any studies planned under </w:t>
      </w:r>
      <w:r w:rsidR="00AF4A57">
        <w:t xml:space="preserve">WRC-23 </w:t>
      </w:r>
      <w:r>
        <w:t>AI 1.5 for sake of protection and coexistence, due to the following:</w:t>
      </w:r>
      <w:r w:rsidRPr="00856E16">
        <w:t xml:space="preserve"> </w:t>
      </w:r>
    </w:p>
    <w:p w14:paraId="73F36CAC" w14:textId="4AE6F9A8" w:rsidR="0095278A" w:rsidRDefault="003838BB" w:rsidP="00AF4A57">
      <w:pPr>
        <w:pStyle w:val="enumlev1"/>
        <w:jc w:val="both"/>
        <w:rPr>
          <w:rFonts w:eastAsia="SimSun"/>
        </w:rPr>
      </w:pPr>
      <w:r>
        <w:rPr>
          <w:rFonts w:eastAsia="SimSun"/>
        </w:rPr>
        <w:t>–</w:t>
      </w:r>
      <w:r>
        <w:rPr>
          <w:rFonts w:eastAsia="SimSun"/>
        </w:rPr>
        <w:tab/>
      </w:r>
      <w:r w:rsidR="0095278A">
        <w:rPr>
          <w:rFonts w:eastAsia="SimSun"/>
        </w:rPr>
        <w:t xml:space="preserve">Resolution </w:t>
      </w:r>
      <w:r w:rsidR="0095278A" w:rsidRPr="00AF4A57">
        <w:rPr>
          <w:rFonts w:eastAsia="SimSun"/>
          <w:b/>
          <w:bCs/>
        </w:rPr>
        <w:t>235</w:t>
      </w:r>
      <w:r w:rsidR="0095278A">
        <w:rPr>
          <w:rFonts w:eastAsia="SimSun"/>
        </w:rPr>
        <w:t xml:space="preserve"> </w:t>
      </w:r>
      <w:r w:rsidR="00AF4A57" w:rsidRPr="00167A91">
        <w:rPr>
          <w:b/>
          <w:bCs/>
        </w:rPr>
        <w:t>(WRC-15)</w:t>
      </w:r>
      <w:r w:rsidR="00AF4A57">
        <w:t xml:space="preserve"> </w:t>
      </w:r>
      <w:r w:rsidR="0095278A">
        <w:rPr>
          <w:rFonts w:eastAsia="SimSun"/>
        </w:rPr>
        <w:t>which is concerned with the r</w:t>
      </w:r>
      <w:r w:rsidR="0095278A" w:rsidRPr="004B0A2F">
        <w:rPr>
          <w:rFonts w:eastAsia="SimSun"/>
        </w:rPr>
        <w:t>eview of the spectrum use of the frequency band 470-960 MHz in Region 1</w:t>
      </w:r>
      <w:r w:rsidR="0095278A">
        <w:rPr>
          <w:rFonts w:eastAsia="SimSun"/>
        </w:rPr>
        <w:t>, consideration (</w:t>
      </w:r>
      <w:proofErr w:type="spellStart"/>
      <w:r w:rsidR="0095278A" w:rsidRPr="004B0A2F">
        <w:rPr>
          <w:rFonts w:eastAsia="SimSun"/>
          <w:i/>
        </w:rPr>
        <w:t>i</w:t>
      </w:r>
      <w:proofErr w:type="spellEnd"/>
      <w:r w:rsidR="0095278A">
        <w:rPr>
          <w:rFonts w:eastAsia="SimSun"/>
        </w:rPr>
        <w:t>) stated clearly that protection should be limited to primary services as follows:</w:t>
      </w:r>
    </w:p>
    <w:p w14:paraId="5C9D0947" w14:textId="58BB8593" w:rsidR="0095278A" w:rsidRPr="003838BB" w:rsidRDefault="003838BB" w:rsidP="00AF4A57">
      <w:pPr>
        <w:pStyle w:val="enumlev2"/>
        <w:jc w:val="both"/>
        <w:rPr>
          <w:rFonts w:eastAsia="SimSun"/>
          <w:i/>
          <w:iCs/>
        </w:rPr>
      </w:pPr>
      <w:proofErr w:type="spellStart"/>
      <w:r w:rsidRPr="003838BB">
        <w:rPr>
          <w:rFonts w:eastAsia="SimSun"/>
          <w:i/>
          <w:iCs/>
        </w:rPr>
        <w:t>i</w:t>
      </w:r>
      <w:proofErr w:type="spellEnd"/>
      <w:r w:rsidRPr="003838BB">
        <w:rPr>
          <w:rFonts w:eastAsia="SimSun"/>
          <w:i/>
          <w:iCs/>
        </w:rPr>
        <w:t>)</w:t>
      </w:r>
      <w:r w:rsidRPr="003838BB">
        <w:rPr>
          <w:rFonts w:eastAsia="SimSun"/>
          <w:i/>
          <w:iCs/>
        </w:rPr>
        <w:tab/>
      </w:r>
      <w:r w:rsidR="0095278A" w:rsidRPr="003838BB">
        <w:rPr>
          <w:rFonts w:eastAsia="SimSun"/>
          <w:i/>
          <w:iCs/>
        </w:rPr>
        <w:t xml:space="preserve">that it is necessary to adequately protect all </w:t>
      </w:r>
      <w:r w:rsidR="0095278A" w:rsidRPr="003838BB">
        <w:rPr>
          <w:rFonts w:eastAsia="SimSun"/>
          <w:b/>
          <w:bCs/>
          <w:i/>
          <w:iCs/>
        </w:rPr>
        <w:t>primary services</w:t>
      </w:r>
      <w:r w:rsidR="0095278A" w:rsidRPr="003838BB">
        <w:rPr>
          <w:rFonts w:eastAsia="SimSun"/>
          <w:i/>
          <w:iCs/>
        </w:rPr>
        <w:t xml:space="preserve"> in the frequency band 470</w:t>
      </w:r>
      <w:r w:rsidR="0095278A" w:rsidRPr="003838BB">
        <w:rPr>
          <w:rFonts w:eastAsia="SimSun"/>
          <w:i/>
          <w:iCs/>
        </w:rPr>
        <w:noBreakHyphen/>
        <w:t>694 MHz and in adjacent frequency bands;</w:t>
      </w:r>
    </w:p>
    <w:p w14:paraId="0F79E04F" w14:textId="767FA8A1" w:rsidR="0095278A" w:rsidRDefault="003838BB" w:rsidP="00AF4A57">
      <w:pPr>
        <w:pStyle w:val="enumlev1"/>
        <w:jc w:val="both"/>
      </w:pPr>
      <w:r>
        <w:t>–</w:t>
      </w:r>
      <w:r>
        <w:tab/>
      </w:r>
      <w:r w:rsidR="0095278A">
        <w:t xml:space="preserve">Resolution </w:t>
      </w:r>
      <w:r w:rsidR="0095278A" w:rsidRPr="00AF4A57">
        <w:rPr>
          <w:b/>
          <w:bCs/>
        </w:rPr>
        <w:t>235</w:t>
      </w:r>
      <w:r w:rsidR="0095278A">
        <w:t xml:space="preserve"> </w:t>
      </w:r>
      <w:r w:rsidR="00AF4A57" w:rsidRPr="00167A91">
        <w:rPr>
          <w:b/>
          <w:bCs/>
        </w:rPr>
        <w:t>(WRC-15)</w:t>
      </w:r>
      <w:r w:rsidR="00AF4A57">
        <w:t xml:space="preserve"> </w:t>
      </w:r>
      <w:r w:rsidR="0095278A">
        <w:t xml:space="preserve">resolves to study particularly the requirement and coexistence between broadcasting and mobile, except aeronautical mobile, services. Any other services should have primary allocation. Secondary service should be </w:t>
      </w:r>
      <w:r w:rsidR="0095278A">
        <w:lastRenderedPageBreak/>
        <w:t xml:space="preserve">explicitly mentioned in Resolution </w:t>
      </w:r>
      <w:r w:rsidR="0095278A" w:rsidRPr="00AF4A57">
        <w:rPr>
          <w:b/>
          <w:bCs/>
        </w:rPr>
        <w:t>235</w:t>
      </w:r>
      <w:r w:rsidR="00AF4A57">
        <w:rPr>
          <w:b/>
          <w:bCs/>
        </w:rPr>
        <w:t xml:space="preserve"> </w:t>
      </w:r>
      <w:r w:rsidR="00AF4A57" w:rsidRPr="00167A91">
        <w:rPr>
          <w:b/>
          <w:bCs/>
        </w:rPr>
        <w:t>(WRC-15)</w:t>
      </w:r>
      <w:r w:rsidR="00AF4A57">
        <w:t xml:space="preserve"> </w:t>
      </w:r>
      <w:r w:rsidR="0095278A">
        <w:t>in order to be considered in the studies, which is not the case.</w:t>
      </w:r>
    </w:p>
    <w:p w14:paraId="519EDF4F" w14:textId="0C083754" w:rsidR="0095278A" w:rsidRDefault="003838BB" w:rsidP="00AF4A57">
      <w:pPr>
        <w:pStyle w:val="enumlev1"/>
        <w:jc w:val="both"/>
      </w:pPr>
      <w:r>
        <w:t>–</w:t>
      </w:r>
      <w:r>
        <w:tab/>
      </w:r>
      <w:r w:rsidR="0095278A">
        <w:t xml:space="preserve">On the other hand, there is no reference to secondary services in Resolution </w:t>
      </w:r>
      <w:r w:rsidR="0095278A" w:rsidRPr="00AF4A57">
        <w:rPr>
          <w:b/>
          <w:bCs/>
        </w:rPr>
        <w:t>235</w:t>
      </w:r>
      <w:r w:rsidR="00AF4A57">
        <w:rPr>
          <w:b/>
          <w:bCs/>
        </w:rPr>
        <w:t xml:space="preserve"> </w:t>
      </w:r>
      <w:r w:rsidR="00AF4A57" w:rsidRPr="00167A91">
        <w:rPr>
          <w:b/>
          <w:bCs/>
        </w:rPr>
        <w:t>(WRC</w:t>
      </w:r>
      <w:r w:rsidR="00AF4A57">
        <w:rPr>
          <w:b/>
          <w:bCs/>
        </w:rPr>
        <w:noBreakHyphen/>
      </w:r>
      <w:r w:rsidR="00AF4A57" w:rsidRPr="00167A91">
        <w:rPr>
          <w:b/>
          <w:bCs/>
        </w:rPr>
        <w:t>15)</w:t>
      </w:r>
      <w:r w:rsidR="0095278A">
        <w:t>, and accordingly we should not make any precedence in such a situation by considering secondary services in the study.</w:t>
      </w:r>
    </w:p>
    <w:p w14:paraId="56E9C4C5" w14:textId="004F7D19" w:rsidR="0095278A" w:rsidRDefault="003838BB" w:rsidP="00AF4A57">
      <w:pPr>
        <w:pStyle w:val="enumlev1"/>
        <w:jc w:val="both"/>
      </w:pPr>
      <w:r>
        <w:t>–</w:t>
      </w:r>
      <w:r>
        <w:tab/>
      </w:r>
      <w:r w:rsidR="0095278A">
        <w:t xml:space="preserve">The </w:t>
      </w:r>
      <w:r w:rsidR="0095278A" w:rsidRPr="003838BB">
        <w:rPr>
          <w:rFonts w:eastAsia="SimSun"/>
        </w:rPr>
        <w:t>agreed</w:t>
      </w:r>
      <w:r w:rsidR="0095278A">
        <w:t xml:space="preserve"> principles in Annex to the Report of the CVC meeting stated clearly that secondary service should be explicitly mentioned in the Resolution [</w:t>
      </w:r>
      <w:r w:rsidR="0095278A" w:rsidRPr="00AF4A57">
        <w:rPr>
          <w:b/>
          <w:bCs/>
        </w:rPr>
        <w:t>235</w:t>
      </w:r>
      <w:r w:rsidR="0095278A">
        <w:t>]</w:t>
      </w:r>
      <w:r w:rsidR="00AF4A57">
        <w:t xml:space="preserve"> </w:t>
      </w:r>
      <w:r w:rsidR="00AF4A57" w:rsidRPr="00167A91">
        <w:rPr>
          <w:b/>
          <w:bCs/>
        </w:rPr>
        <w:t>(WRC-15)</w:t>
      </w:r>
      <w:r w:rsidR="00AF4A57">
        <w:t xml:space="preserve"> </w:t>
      </w:r>
      <w:r w:rsidR="0095278A">
        <w:t>in order to be considered:</w:t>
      </w:r>
    </w:p>
    <w:p w14:paraId="612EA90F" w14:textId="29DA1117" w:rsidR="0095278A" w:rsidRDefault="003838BB" w:rsidP="00AF4A57">
      <w:pPr>
        <w:pStyle w:val="enumlev2"/>
        <w:jc w:val="both"/>
      </w:pPr>
      <w:r>
        <w:t>•</w:t>
      </w:r>
      <w:r>
        <w:tab/>
      </w:r>
      <w:r w:rsidR="0095278A">
        <w:t>"3</w:t>
      </w:r>
      <w:r w:rsidR="0095278A">
        <w:tab/>
        <w:t xml:space="preserve">This principle is important to identify all services in the frequency band under study. </w:t>
      </w:r>
    </w:p>
    <w:p w14:paraId="56188914" w14:textId="2DCE6796" w:rsidR="0095278A" w:rsidRPr="007C286C" w:rsidRDefault="003838BB" w:rsidP="00AF4A57">
      <w:pPr>
        <w:pStyle w:val="enumlev2"/>
        <w:jc w:val="both"/>
      </w:pPr>
      <w:r>
        <w:tab/>
      </w:r>
      <w:r w:rsidR="0095278A">
        <w:t xml:space="preserve">The impact of the incoming in-band service subject to the agenda item with respect to </w:t>
      </w:r>
      <w:r w:rsidR="0095278A" w:rsidRPr="00974BB0">
        <w:rPr>
          <w:b/>
          <w:bCs/>
        </w:rPr>
        <w:t>in-band secondary services</w:t>
      </w:r>
      <w:r w:rsidR="0095278A">
        <w:t xml:space="preserve"> </w:t>
      </w:r>
      <w:r w:rsidR="0095278A" w:rsidRPr="00974BB0">
        <w:rPr>
          <w:b/>
          <w:bCs/>
        </w:rPr>
        <w:t>need to be assessed if it is mentioned in the resolution supporting that agenda item</w:t>
      </w:r>
      <w:r w:rsidR="0095278A" w:rsidRPr="007C286C">
        <w:t>. In the absence of guidance from the resolution, the matter is to be treated in accordance with the relevant provisions of the Radio Regulations.</w:t>
      </w:r>
    </w:p>
    <w:p w14:paraId="064F9BF0" w14:textId="6268C33A" w:rsidR="0095278A" w:rsidRDefault="003838BB" w:rsidP="00AF4A57">
      <w:pPr>
        <w:pStyle w:val="enumlev2"/>
        <w:jc w:val="both"/>
      </w:pPr>
      <w:r>
        <w:rPr>
          <w:b/>
          <w:bCs/>
        </w:rPr>
        <w:tab/>
      </w:r>
      <w:r w:rsidR="0095278A" w:rsidRPr="00974BB0">
        <w:rPr>
          <w:b/>
          <w:bCs/>
        </w:rPr>
        <w:t>The protection of primary services in the adjacent frequency band is to be treated in accordance with the relevant provisions of the Radio Regulations.</w:t>
      </w:r>
      <w:r w:rsidR="0095278A">
        <w:t>"</w:t>
      </w:r>
    </w:p>
    <w:p w14:paraId="371DE73B" w14:textId="320B3995" w:rsidR="0095278A" w:rsidRDefault="003838BB" w:rsidP="00AF4A57">
      <w:pPr>
        <w:pStyle w:val="enumlev1"/>
        <w:jc w:val="both"/>
      </w:pPr>
      <w:r>
        <w:t>–</w:t>
      </w:r>
      <w:r>
        <w:tab/>
      </w:r>
      <w:r w:rsidR="0095278A">
        <w:t xml:space="preserve">As </w:t>
      </w:r>
      <w:r w:rsidR="0095278A" w:rsidRPr="003838BB">
        <w:rPr>
          <w:rFonts w:eastAsia="SimSun"/>
        </w:rPr>
        <w:t>per</w:t>
      </w:r>
      <w:r w:rsidR="0095278A">
        <w:t xml:space="preserve"> the ITU Radio Regulations, Article </w:t>
      </w:r>
      <w:r w:rsidR="0095278A" w:rsidRPr="00AF4A57">
        <w:rPr>
          <w:b/>
          <w:bCs/>
        </w:rPr>
        <w:t>5</w:t>
      </w:r>
      <w:r w:rsidR="0095278A">
        <w:t xml:space="preserve"> </w:t>
      </w:r>
      <w:r w:rsidR="00AF4A57">
        <w:t>–</w:t>
      </w:r>
      <w:r w:rsidR="0095278A">
        <w:t xml:space="preserve"> Section 2, on </w:t>
      </w:r>
      <w:r w:rsidR="0095278A">
        <w:rPr>
          <w:lang w:val="en-AU"/>
        </w:rPr>
        <w:t xml:space="preserve">Categories of services and allocations, the primary service is only subject to protection and </w:t>
      </w:r>
      <w:r w:rsidR="0095278A">
        <w:t>secondary services should not claim protection and accordingly are not subject to</w:t>
      </w:r>
      <w:r w:rsidR="00E450DD">
        <w:t xml:space="preserve"> WRC-23 </w:t>
      </w:r>
      <w:r w:rsidR="0095278A">
        <w:t>AI 1.5 studies:</w:t>
      </w:r>
    </w:p>
    <w:p w14:paraId="113CA03F" w14:textId="77777777" w:rsidR="0095278A" w:rsidRPr="00AF4A57" w:rsidRDefault="0095278A" w:rsidP="003838BB">
      <w:pPr>
        <w:pStyle w:val="enumlev2"/>
        <w:rPr>
          <w:i/>
          <w:iCs/>
          <w:lang w:val="en-AU"/>
        </w:rPr>
      </w:pPr>
      <w:r w:rsidRPr="00AF4A57">
        <w:rPr>
          <w:rStyle w:val="Artdef"/>
          <w:i/>
          <w:iCs/>
        </w:rPr>
        <w:t>5.28</w:t>
      </w:r>
      <w:r w:rsidRPr="00AF4A57">
        <w:rPr>
          <w:i/>
          <w:iCs/>
        </w:rPr>
        <w:tab/>
      </w:r>
      <w:r w:rsidRPr="00AF4A57">
        <w:rPr>
          <w:i/>
          <w:iCs/>
        </w:rPr>
        <w:tab/>
      </w:r>
      <w:r w:rsidRPr="00AF4A57">
        <w:rPr>
          <w:i/>
          <w:iCs/>
          <w:lang w:val="en-AU"/>
        </w:rPr>
        <w:t>3)</w:t>
      </w:r>
      <w:r w:rsidRPr="00AF4A57">
        <w:rPr>
          <w:i/>
          <w:iCs/>
          <w:lang w:val="en-AU"/>
        </w:rPr>
        <w:tab/>
        <w:t>Stations of a secondary service:</w:t>
      </w:r>
    </w:p>
    <w:p w14:paraId="5DDC543F" w14:textId="77777777" w:rsidR="0095278A" w:rsidRPr="00AF4A57" w:rsidRDefault="0095278A" w:rsidP="00E450DD">
      <w:pPr>
        <w:pStyle w:val="enumlev2"/>
        <w:jc w:val="both"/>
        <w:rPr>
          <w:i/>
          <w:iCs/>
          <w:lang w:val="en-AU"/>
        </w:rPr>
      </w:pPr>
      <w:r w:rsidRPr="00AF4A57">
        <w:rPr>
          <w:rStyle w:val="Artdef"/>
          <w:i/>
          <w:iCs/>
        </w:rPr>
        <w:t>5.29</w:t>
      </w:r>
      <w:r w:rsidRPr="00AF4A57">
        <w:rPr>
          <w:i/>
          <w:iCs/>
        </w:rPr>
        <w:tab/>
      </w:r>
      <w:r w:rsidRPr="00AF4A57">
        <w:rPr>
          <w:i/>
          <w:iCs/>
          <w:lang w:val="en-AU"/>
        </w:rPr>
        <w:t>a)</w:t>
      </w:r>
      <w:r w:rsidRPr="00AF4A57">
        <w:rPr>
          <w:i/>
          <w:iCs/>
          <w:lang w:val="en-AU"/>
        </w:rPr>
        <w:tab/>
        <w:t>shall not cause harmful interference to stations of primary services to which frequencies are already assigned or to which frequencies may be assigned at a later date;</w:t>
      </w:r>
    </w:p>
    <w:p w14:paraId="6898DA0A" w14:textId="77777777" w:rsidR="0095278A" w:rsidRPr="00AF4A57" w:rsidRDefault="0095278A" w:rsidP="00E450DD">
      <w:pPr>
        <w:pStyle w:val="enumlev2"/>
        <w:jc w:val="both"/>
        <w:rPr>
          <w:i/>
          <w:iCs/>
          <w:lang w:val="en-AU"/>
        </w:rPr>
      </w:pPr>
      <w:r w:rsidRPr="00AF4A57">
        <w:rPr>
          <w:rStyle w:val="Artdef"/>
          <w:i/>
          <w:iCs/>
        </w:rPr>
        <w:t>5.30</w:t>
      </w:r>
      <w:r w:rsidRPr="00AF4A57">
        <w:rPr>
          <w:i/>
          <w:iCs/>
        </w:rPr>
        <w:tab/>
      </w:r>
      <w:r w:rsidRPr="00AF4A57">
        <w:rPr>
          <w:i/>
          <w:iCs/>
          <w:lang w:val="en-AU"/>
        </w:rPr>
        <w:t>b)</w:t>
      </w:r>
      <w:r w:rsidRPr="00AF4A57">
        <w:rPr>
          <w:i/>
          <w:iCs/>
          <w:lang w:val="en-AU"/>
        </w:rPr>
        <w:tab/>
        <w:t>cannot claim protection from harmful interference from stations of a primary service to which frequencies are already assigned or may be assigned at a later date;</w:t>
      </w:r>
    </w:p>
    <w:p w14:paraId="4AF193B7" w14:textId="679F7105" w:rsidR="0095278A" w:rsidRPr="00AF4A57" w:rsidRDefault="00AF4A57" w:rsidP="00E450DD">
      <w:pPr>
        <w:pStyle w:val="enumlev2"/>
        <w:jc w:val="both"/>
        <w:rPr>
          <w:b/>
          <w:bCs/>
          <w:i/>
          <w:iCs/>
          <w:lang w:val="en-AU"/>
        </w:rPr>
      </w:pPr>
      <w:r w:rsidRPr="00AF4A57">
        <w:rPr>
          <w:rStyle w:val="Artdef"/>
          <w:b w:val="0"/>
          <w:bCs/>
          <w:i/>
          <w:iCs/>
        </w:rPr>
        <w:t>…</w:t>
      </w:r>
    </w:p>
    <w:p w14:paraId="30BCA467" w14:textId="77777777" w:rsidR="0095278A" w:rsidRPr="00AF4A57" w:rsidRDefault="0095278A" w:rsidP="00E450DD">
      <w:pPr>
        <w:pStyle w:val="enumlev2"/>
        <w:jc w:val="both"/>
        <w:rPr>
          <w:i/>
          <w:iCs/>
        </w:rPr>
      </w:pPr>
      <w:r w:rsidRPr="00AF4A57">
        <w:rPr>
          <w:rStyle w:val="Artdef"/>
          <w:i/>
          <w:iCs/>
        </w:rPr>
        <w:t>5.33</w:t>
      </w:r>
      <w:r w:rsidRPr="00AF4A57">
        <w:rPr>
          <w:i/>
          <w:iCs/>
        </w:rPr>
        <w:tab/>
      </w:r>
      <w:r w:rsidRPr="00AF4A57">
        <w:rPr>
          <w:i/>
          <w:iCs/>
        </w:rPr>
        <w:tab/>
      </w:r>
      <w:r w:rsidRPr="00AF4A57">
        <w:rPr>
          <w:i/>
          <w:iCs/>
          <w:lang w:val="en-AU"/>
        </w:rPr>
        <w:t>5)</w:t>
      </w:r>
      <w:r w:rsidRPr="00AF4A57">
        <w:rPr>
          <w:i/>
          <w:iCs/>
          <w:lang w:val="en-AU"/>
        </w:rPr>
        <w:tab/>
        <w:t>Where a band is indicated in a footnote of the Table as allocated to a service “on a primary basis”, in an area smaller than a Region, or in a particular country, this is a primary service only in that area or country.</w:t>
      </w:r>
    </w:p>
    <w:p w14:paraId="4FFBE3DA" w14:textId="0D42EFE8" w:rsidR="0095278A" w:rsidRPr="00F03731" w:rsidRDefault="003838BB" w:rsidP="00E450DD">
      <w:pPr>
        <w:pStyle w:val="enumlev1"/>
        <w:jc w:val="both"/>
      </w:pPr>
      <w:r>
        <w:t>–</w:t>
      </w:r>
      <w:r>
        <w:tab/>
      </w:r>
      <w:r w:rsidR="0095278A">
        <w:t xml:space="preserve">Resolution </w:t>
      </w:r>
      <w:r w:rsidR="0095278A" w:rsidRPr="00E450DD">
        <w:rPr>
          <w:b/>
          <w:bCs/>
        </w:rPr>
        <w:t>235</w:t>
      </w:r>
      <w:r w:rsidR="0095278A">
        <w:t xml:space="preserve"> </w:t>
      </w:r>
      <w:r w:rsidR="00E450DD" w:rsidRPr="00167A91">
        <w:rPr>
          <w:b/>
          <w:bCs/>
        </w:rPr>
        <w:t>(WRC-15)</w:t>
      </w:r>
      <w:r w:rsidR="00E450DD">
        <w:t xml:space="preserve"> </w:t>
      </w:r>
      <w:r w:rsidR="0095278A">
        <w:t xml:space="preserve">addresses the existing primary services in the band 470-960 MHz which </w:t>
      </w:r>
      <w:r w:rsidR="0095278A" w:rsidRPr="003838BB">
        <w:rPr>
          <w:rFonts w:eastAsia="SimSun"/>
        </w:rPr>
        <w:t>include</w:t>
      </w:r>
      <w:r w:rsidR="0095278A">
        <w:t xml:space="preserve"> Mobile and Broadcasting services. In addition, Resolution </w:t>
      </w:r>
      <w:r w:rsidR="0095278A" w:rsidRPr="00E450DD">
        <w:rPr>
          <w:b/>
          <w:bCs/>
        </w:rPr>
        <w:t>235</w:t>
      </w:r>
      <w:r w:rsidR="0095278A">
        <w:t xml:space="preserve"> </w:t>
      </w:r>
      <w:r w:rsidR="00E450DD" w:rsidRPr="00167A91">
        <w:rPr>
          <w:b/>
          <w:bCs/>
        </w:rPr>
        <w:t>(WRC-15)</w:t>
      </w:r>
      <w:r w:rsidR="00E450DD">
        <w:t xml:space="preserve"> </w:t>
      </w:r>
      <w:r w:rsidR="0095278A">
        <w:t>resolves to invite WRC-23 to consider possible regulatory actions in the frequency band 470-694 MHz in Region 1, which includes the primary mobile allocation and identification to IMT.</w:t>
      </w:r>
      <w:r w:rsidR="0095278A" w:rsidRPr="00DD6138">
        <w:t xml:space="preserve"> </w:t>
      </w:r>
      <w:r w:rsidR="0095278A">
        <w:t xml:space="preserve">The agenda item is intended for primary allocation to </w:t>
      </w:r>
      <w:r w:rsidR="00E450DD">
        <w:t xml:space="preserve">mobile </w:t>
      </w:r>
      <w:r w:rsidR="0095278A">
        <w:t>(</w:t>
      </w:r>
      <w:r w:rsidR="00E450DD">
        <w:t>so</w:t>
      </w:r>
      <w:r w:rsidR="0095278A">
        <w:t xml:space="preserve">, the argument pertaining to the study of </w:t>
      </w:r>
      <w:r w:rsidR="00E450DD">
        <w:t xml:space="preserve">mobile </w:t>
      </w:r>
      <w:r w:rsidR="0095278A">
        <w:t>without currently having primary allocation in RR is not valid).</w:t>
      </w:r>
    </w:p>
    <w:p w14:paraId="3FE06658" w14:textId="559FEA3F" w:rsidR="000069D4" w:rsidRDefault="000069D4" w:rsidP="003838BB">
      <w:pPr>
        <w:jc w:val="center"/>
      </w:pPr>
    </w:p>
    <w:p w14:paraId="2140B0BC" w14:textId="77777777" w:rsidR="00AF4A57" w:rsidRDefault="00AF4A57" w:rsidP="0032202E">
      <w:pPr>
        <w:pStyle w:val="Reasons"/>
      </w:pPr>
    </w:p>
    <w:p w14:paraId="72EA4AB3" w14:textId="3CF675A1" w:rsidR="00AF4A57" w:rsidRPr="003838BB" w:rsidRDefault="00AF4A57" w:rsidP="003838BB">
      <w:pPr>
        <w:jc w:val="center"/>
      </w:pPr>
      <w:r>
        <w:t>______________</w:t>
      </w:r>
    </w:p>
    <w:sectPr w:rsidR="00AF4A57" w:rsidRPr="003838BB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492B" w14:textId="77777777" w:rsidR="0095278A" w:rsidRDefault="0095278A">
      <w:r>
        <w:separator/>
      </w:r>
    </w:p>
  </w:endnote>
  <w:endnote w:type="continuationSeparator" w:id="0">
    <w:p w14:paraId="2BC7C5F0" w14:textId="77777777" w:rsidR="0095278A" w:rsidRDefault="0095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D070" w14:textId="4CB77940" w:rsidR="00FA124A" w:rsidRPr="002F7CB3" w:rsidRDefault="009C185B">
    <w:pPr>
      <w:pStyle w:val="Footer"/>
      <w:rPr>
        <w:lang w:val="en-US"/>
      </w:rPr>
    </w:pPr>
    <w:fldSimple w:instr=" FILENAME \p \* MERGEFORMAT ">
      <w:r w:rsidR="003838BB" w:rsidRPr="003838BB">
        <w:rPr>
          <w:lang w:val="en-US"/>
        </w:rPr>
        <w:t>M</w:t>
      </w:r>
      <w:r w:rsidR="003838BB">
        <w:t>:\BRSGD\TEXT2019\SG06\TG6-1\000\070e.docx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95278A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5278A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E9ED" w14:textId="5D8384BF" w:rsidR="00FA124A" w:rsidRPr="002F7CB3" w:rsidRDefault="009C185B" w:rsidP="00E6257C">
    <w:pPr>
      <w:pStyle w:val="Footer"/>
      <w:rPr>
        <w:lang w:val="en-US"/>
      </w:rPr>
    </w:pPr>
    <w:fldSimple w:instr=" FILENAME \p \* MERGEFORMAT ">
      <w:r w:rsidR="003838BB" w:rsidRPr="003838BB">
        <w:rPr>
          <w:lang w:val="en-US"/>
        </w:rPr>
        <w:t>M</w:t>
      </w:r>
      <w:r w:rsidR="003838BB">
        <w:t>:\BRSGD\TEXT2019\SG06\TG6-1\000\070e.docx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95278A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5278A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A6A1" w14:textId="77777777" w:rsidR="0095278A" w:rsidRDefault="0095278A">
      <w:r>
        <w:t>____________________</w:t>
      </w:r>
    </w:p>
  </w:footnote>
  <w:footnote w:type="continuationSeparator" w:id="0">
    <w:p w14:paraId="0331751F" w14:textId="77777777" w:rsidR="0095278A" w:rsidRDefault="00952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2E89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30FCF54B" w14:textId="52C9EDDC" w:rsidR="00FA124A" w:rsidRDefault="0095278A">
    <w:pPr>
      <w:pStyle w:val="Header"/>
      <w:rPr>
        <w:lang w:val="en-US"/>
      </w:rPr>
    </w:pPr>
    <w:r>
      <w:rPr>
        <w:lang w:val="en-US"/>
      </w:rPr>
      <w:t>6-1/70-E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490A"/>
    <w:multiLevelType w:val="hybridMultilevel"/>
    <w:tmpl w:val="BB183206"/>
    <w:lvl w:ilvl="0" w:tplc="21EA7A1A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78B1FD6"/>
    <w:multiLevelType w:val="hybridMultilevel"/>
    <w:tmpl w:val="8F762592"/>
    <w:lvl w:ilvl="0" w:tplc="87065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278A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38BB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5278A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AF4A57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450DD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2D7CAEE"/>
  <w15:docId w15:val="{2F9B6DE5-B5C4-49D7-A087-19A9898A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link w:val="SourceChar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95278A"/>
    <w:pPr>
      <w:ind w:left="720"/>
      <w:contextualSpacing/>
    </w:pPr>
  </w:style>
  <w:style w:type="character" w:customStyle="1" w:styleId="HeadingbChar">
    <w:name w:val="Heading_b Char"/>
    <w:basedOn w:val="DefaultParagraphFont"/>
    <w:link w:val="Headingb"/>
    <w:locked/>
    <w:rsid w:val="0095278A"/>
    <w:rPr>
      <w:rFonts w:ascii="Times New Roman Bold" w:hAnsi="Times New Roman Bold" w:cs="Times New Roman Bold"/>
      <w:b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95278A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SourceChar"/>
    <w:link w:val="Title1"/>
    <w:locked/>
    <w:rsid w:val="0095278A"/>
    <w:rPr>
      <w:rFonts w:ascii="Times New Roman" w:hAnsi="Times New Roman"/>
      <w:b w:val="0"/>
      <w:caps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95278A"/>
    <w:rPr>
      <w:rFonts w:ascii="Times New Roman" w:hAnsi="Times New Roman"/>
      <w:sz w:val="24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278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 - LRT -</dc:creator>
  <cp:lastModifiedBy>ITU - LRT -</cp:lastModifiedBy>
  <cp:revision>2</cp:revision>
  <cp:lastPrinted>2008-02-21T14:04:00Z</cp:lastPrinted>
  <dcterms:created xsi:type="dcterms:W3CDTF">2021-10-21T13:09:00Z</dcterms:created>
  <dcterms:modified xsi:type="dcterms:W3CDTF">2021-10-21T13:15:00Z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